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sz w:val="44"/>
          <w:szCs w:val="32"/>
        </w:rPr>
      </w:pPr>
      <w:bookmarkStart w:id="0" w:name="_GoBack"/>
      <w:r>
        <w:rPr>
          <w:rFonts w:hint="eastAsia" w:asciiTheme="majorEastAsia" w:hAnsiTheme="majorEastAsia" w:eastAsiaTheme="majorEastAsia"/>
          <w:sz w:val="44"/>
          <w:szCs w:val="32"/>
        </w:rPr>
        <w:t>富顺县人民医院</w:t>
      </w:r>
    </w:p>
    <w:p>
      <w:pPr>
        <w:spacing w:line="500" w:lineRule="exact"/>
        <w:jc w:val="center"/>
        <w:rPr>
          <w:rFonts w:asciiTheme="majorEastAsia" w:hAnsiTheme="majorEastAsia" w:eastAsiaTheme="majorEastAsia"/>
          <w:sz w:val="44"/>
          <w:szCs w:val="32"/>
        </w:rPr>
      </w:pPr>
      <w:r>
        <w:rPr>
          <w:rFonts w:hint="eastAsia" w:asciiTheme="majorEastAsia" w:hAnsiTheme="majorEastAsia" w:eastAsiaTheme="majorEastAsia"/>
          <w:sz w:val="44"/>
          <w:szCs w:val="32"/>
        </w:rPr>
        <w:t>消防设施设备维保项目</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询价采购公告</w:t>
      </w:r>
    </w:p>
    <w:p>
      <w:pPr>
        <w:widowControl/>
        <w:shd w:val="clear" w:color="auto" w:fill="FFFFFF"/>
        <w:spacing w:line="270" w:lineRule="atLeast"/>
        <w:jc w:val="center"/>
        <w:outlineLvl w:val="5"/>
        <w:rPr>
          <w:rFonts w:ascii="微软雅黑" w:hAnsi="微软雅黑" w:eastAsia="微软雅黑" w:cs="宋体"/>
          <w:color w:val="999999"/>
          <w:kern w:val="0"/>
          <w:szCs w:val="21"/>
        </w:rPr>
      </w:pPr>
      <w:r>
        <w:fldChar w:fldCharType="begin"/>
      </w:r>
      <w:r>
        <w:instrText xml:space="preserve"> HYPERLINK "http://www.fsx120.cn/Template/Pc/" \o "分享到微信" </w:instrText>
      </w:r>
      <w:r>
        <w:fldChar w:fldCharType="separate"/>
      </w:r>
      <w:r>
        <w:rPr>
          <w:rFonts w:hint="eastAsia" w:ascii="微软雅黑" w:hAnsi="微软雅黑" w:eastAsia="微软雅黑" w:cs="宋体"/>
          <w:bCs/>
          <w:color w:val="008E60"/>
          <w:kern w:val="0"/>
          <w:szCs w:val="21"/>
        </w:rPr>
        <w:t> </w:t>
      </w:r>
      <w:r>
        <w:rPr>
          <w:rFonts w:hint="eastAsia" w:ascii="微软雅黑" w:hAnsi="微软雅黑" w:eastAsia="微软雅黑" w:cs="宋体"/>
          <w:bCs/>
          <w:color w:val="008E60"/>
          <w:kern w:val="0"/>
          <w:szCs w:val="21"/>
        </w:rPr>
        <w:fldChar w:fldCharType="end"/>
      </w:r>
      <w:r>
        <w:rPr>
          <w:rFonts w:hint="eastAsia" w:ascii="微软雅黑" w:hAnsi="微软雅黑" w:eastAsia="微软雅黑" w:cs="宋体"/>
          <w:color w:val="999999"/>
          <w:kern w:val="0"/>
          <w:sz w:val="2"/>
          <w:szCs w:val="2"/>
        </w:rPr>
        <w:t> </w:t>
      </w:r>
      <w:r>
        <w:fldChar w:fldCharType="begin"/>
      </w:r>
      <w:r>
        <w:instrText xml:space="preserve"> HYPERLINK "http://www.fsx120.cn/Template/Pc/" \o "分享到QQ空间" </w:instrText>
      </w:r>
      <w:r>
        <w:fldChar w:fldCharType="separate"/>
      </w:r>
      <w:r>
        <w:rPr>
          <w:rFonts w:hint="eastAsia" w:ascii="微软雅黑" w:hAnsi="微软雅黑" w:eastAsia="微软雅黑" w:cs="宋体"/>
          <w:bCs/>
          <w:color w:val="008E60"/>
          <w:kern w:val="0"/>
          <w:szCs w:val="21"/>
        </w:rPr>
        <w:t> </w:t>
      </w:r>
      <w:r>
        <w:rPr>
          <w:rFonts w:hint="eastAsia" w:ascii="微软雅黑" w:hAnsi="微软雅黑" w:eastAsia="微软雅黑" w:cs="宋体"/>
          <w:bCs/>
          <w:color w:val="008E60"/>
          <w:kern w:val="0"/>
          <w:szCs w:val="21"/>
        </w:rPr>
        <w:fldChar w:fldCharType="end"/>
      </w:r>
      <w:r>
        <w:rPr>
          <w:rFonts w:hint="eastAsia" w:ascii="微软雅黑" w:hAnsi="微软雅黑" w:eastAsia="微软雅黑" w:cs="宋体"/>
          <w:color w:val="999999"/>
          <w:kern w:val="0"/>
          <w:sz w:val="2"/>
          <w:szCs w:val="2"/>
        </w:rPr>
        <w:t> </w:t>
      </w:r>
      <w:r>
        <w:fldChar w:fldCharType="begin"/>
      </w:r>
      <w:r>
        <w:instrText xml:space="preserve"> HYPERLINK "http://www.fsx120.cn/Template/Pc/" \o "分享到腾讯微博" </w:instrText>
      </w:r>
      <w:r>
        <w:fldChar w:fldCharType="separate"/>
      </w:r>
      <w:r>
        <w:rPr>
          <w:rFonts w:hint="eastAsia" w:ascii="微软雅黑" w:hAnsi="微软雅黑" w:eastAsia="微软雅黑" w:cs="宋体"/>
          <w:bCs/>
          <w:color w:val="008E60"/>
          <w:kern w:val="0"/>
          <w:szCs w:val="21"/>
        </w:rPr>
        <w:t> </w:t>
      </w:r>
      <w:r>
        <w:rPr>
          <w:rFonts w:hint="eastAsia" w:ascii="微软雅黑" w:hAnsi="微软雅黑" w:eastAsia="微软雅黑" w:cs="宋体"/>
          <w:bCs/>
          <w:color w:val="008E60"/>
          <w:kern w:val="0"/>
          <w:szCs w:val="21"/>
        </w:rPr>
        <w:fldChar w:fldCharType="end"/>
      </w:r>
      <w:r>
        <w:rPr>
          <w:rFonts w:hint="eastAsia" w:ascii="微软雅黑" w:hAnsi="微软雅黑" w:eastAsia="微软雅黑" w:cs="宋体"/>
          <w:color w:val="999999"/>
          <w:kern w:val="0"/>
          <w:sz w:val="2"/>
          <w:szCs w:val="2"/>
        </w:rPr>
        <w:t> </w:t>
      </w:r>
      <w:r>
        <w:fldChar w:fldCharType="begin"/>
      </w:r>
      <w:r>
        <w:instrText xml:space="preserve"> HYPERLINK "http://www.fsx120.cn/Template/Pc/" \o "分享到新浪微博" </w:instrText>
      </w:r>
      <w:r>
        <w:fldChar w:fldCharType="separate"/>
      </w:r>
      <w:r>
        <w:rPr>
          <w:rFonts w:hint="eastAsia" w:ascii="微软雅黑" w:hAnsi="微软雅黑" w:eastAsia="微软雅黑" w:cs="宋体"/>
          <w:bCs/>
          <w:color w:val="008E60"/>
          <w:kern w:val="0"/>
          <w:szCs w:val="21"/>
        </w:rPr>
        <w:t> </w:t>
      </w:r>
      <w:r>
        <w:rPr>
          <w:rFonts w:hint="eastAsia" w:ascii="微软雅黑" w:hAnsi="微软雅黑" w:eastAsia="微软雅黑" w:cs="宋体"/>
          <w:bCs/>
          <w:color w:val="008E60"/>
          <w:kern w:val="0"/>
          <w:szCs w:val="21"/>
        </w:rPr>
        <w:fldChar w:fldCharType="end"/>
      </w:r>
    </w:p>
    <w:p>
      <w:pPr>
        <w:widowControl/>
        <w:shd w:val="clear" w:color="auto" w:fill="FFFFFF"/>
        <w:spacing w:before="360" w:line="360" w:lineRule="atLeast"/>
        <w:rPr>
          <w:rFonts w:ascii="仿宋_GB2312" w:hAnsi="Calibri" w:eastAsia="仿宋_GB2312" w:cs="Calibri"/>
          <w:color w:val="666666"/>
          <w:kern w:val="0"/>
          <w:szCs w:val="21"/>
        </w:rPr>
      </w:pPr>
      <w:r>
        <w:rPr>
          <w:rFonts w:hint="eastAsia" w:ascii="Calibri" w:hAnsi="Calibri" w:eastAsia="仿宋_GB2312" w:cs="Calibri"/>
          <w:color w:val="666666"/>
          <w:kern w:val="0"/>
          <w:szCs w:val="21"/>
        </w:rPr>
        <w:t> </w:t>
      </w:r>
      <w:r>
        <w:rPr>
          <w:rFonts w:hint="eastAsia" w:ascii="仿宋_GB2312" w:hAnsi="仿宋" w:eastAsia="仿宋_GB2312" w:cs="Calibri"/>
          <w:color w:val="000000"/>
          <w:kern w:val="0"/>
          <w:sz w:val="32"/>
          <w:szCs w:val="32"/>
        </w:rPr>
        <w:t>各消防维保商：</w:t>
      </w:r>
    </w:p>
    <w:p>
      <w:pPr>
        <w:widowControl/>
        <w:shd w:val="clear" w:color="auto" w:fill="FFFFFF"/>
        <w:spacing w:line="360" w:lineRule="atLeast"/>
        <w:ind w:firstLine="56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我院因工作需要，现诚邀具有履行合同所必需的人员、专业技术能力以及具有国家相应消防维保资质的单位参加我院的消防设施设备维护保养项目询价采购工作，具体内容如下：</w:t>
      </w:r>
    </w:p>
    <w:p>
      <w:pPr>
        <w:widowControl/>
        <w:shd w:val="clear" w:color="auto" w:fill="FFFFFF"/>
        <w:spacing w:line="360" w:lineRule="atLeast"/>
        <w:ind w:firstLine="56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一、本次维保项目包含新院区、康复分院及感染科病区消防设施设备（详见保养项目及报价单）</w:t>
      </w:r>
    </w:p>
    <w:p>
      <w:pPr>
        <w:widowControl/>
        <w:ind w:firstLine="438" w:firstLineChars="137"/>
        <w:jc w:val="left"/>
        <w:textAlignment w:val="center"/>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二、本次询价采购为一次性报价，采取低价中标法，</w:t>
      </w:r>
      <w:r>
        <w:rPr>
          <w:rFonts w:hint="eastAsia" w:ascii="仿宋_GB2312" w:hAnsi="仿宋" w:eastAsia="仿宋_GB2312"/>
          <w:sz w:val="32"/>
          <w:szCs w:val="32"/>
        </w:rPr>
        <w:t>维保单位</w:t>
      </w:r>
      <w:r>
        <w:rPr>
          <w:rFonts w:hint="eastAsia" w:ascii="仿宋_GB2312" w:hAnsi="仿宋" w:eastAsia="仿宋_GB2312" w:cs="Calibri"/>
          <w:color w:val="000000"/>
          <w:kern w:val="0"/>
          <w:sz w:val="32"/>
          <w:szCs w:val="32"/>
        </w:rPr>
        <w:t>所报维保服务费价最低者为本次询价采购中标候选单位，服务期为两年，消防设施设备维保服务费控制价为58000元/年。维保配件耗材控制单价详见附件：《</w:t>
      </w:r>
      <w:r>
        <w:rPr>
          <w:rFonts w:hint="eastAsia" w:ascii="仿宋_GB2312" w:hAnsi="宋体" w:eastAsia="仿宋_GB2312" w:cs="宋体"/>
          <w:bCs/>
          <w:kern w:val="0"/>
          <w:sz w:val="32"/>
          <w:szCs w:val="32"/>
        </w:rPr>
        <w:t>消防系统配件报价单》，</w:t>
      </w:r>
      <w:r>
        <w:rPr>
          <w:rFonts w:hint="eastAsia" w:ascii="仿宋_GB2312" w:hAnsi="仿宋" w:eastAsia="仿宋_GB2312" w:cs="Calibri"/>
          <w:color w:val="000000"/>
          <w:kern w:val="0"/>
          <w:sz w:val="32"/>
          <w:szCs w:val="32"/>
        </w:rPr>
        <w:t>（报价单以外的配件耗材有信息价参照信息价，按报价下浮率下浮，无信息价的双方共同认质认价采购），维保服务费和维保配件耗材高于控制金额和单价的报价为无效报价，报价应包括人工、交通、住宿、税金、安全措施等全部费用。</w:t>
      </w:r>
    </w:p>
    <w:p>
      <w:pPr>
        <w:widowControl/>
        <w:shd w:val="clear" w:color="auto" w:fill="FFFFFF"/>
        <w:spacing w:line="360" w:lineRule="atLeas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 xml:space="preserve">   三、维保过程中发现消防设施设备零部件老化或损坏，</w:t>
      </w:r>
      <w:r>
        <w:rPr>
          <w:rFonts w:hint="eastAsia" w:ascii="仿宋_GB2312" w:hAnsi="仿宋" w:eastAsia="仿宋_GB2312"/>
          <w:sz w:val="32"/>
          <w:szCs w:val="32"/>
        </w:rPr>
        <w:t>维保单位</w:t>
      </w:r>
      <w:r>
        <w:rPr>
          <w:rFonts w:hint="eastAsia" w:ascii="仿宋_GB2312" w:hAnsi="仿宋" w:eastAsia="仿宋_GB2312" w:cs="Calibri"/>
          <w:color w:val="000000"/>
          <w:kern w:val="0"/>
          <w:sz w:val="32"/>
          <w:szCs w:val="32"/>
        </w:rPr>
        <w:t>应书面向医院管理科室报告，并与医院协商处理方案，如需</w:t>
      </w:r>
      <w:r>
        <w:rPr>
          <w:rFonts w:hint="eastAsia" w:ascii="仿宋_GB2312" w:hAnsi="仿宋" w:eastAsia="仿宋_GB2312"/>
          <w:sz w:val="32"/>
          <w:szCs w:val="32"/>
        </w:rPr>
        <w:t>维保单位</w:t>
      </w:r>
      <w:r>
        <w:rPr>
          <w:rFonts w:hint="eastAsia" w:ascii="仿宋_GB2312" w:hAnsi="仿宋" w:eastAsia="仿宋_GB2312" w:cs="Calibri"/>
          <w:color w:val="000000"/>
          <w:kern w:val="0"/>
          <w:sz w:val="32"/>
          <w:szCs w:val="32"/>
        </w:rPr>
        <w:t>提供配件，</w:t>
      </w:r>
      <w:r>
        <w:rPr>
          <w:rFonts w:hint="eastAsia" w:ascii="仿宋_GB2312" w:hAnsi="仿宋" w:eastAsia="仿宋_GB2312"/>
          <w:sz w:val="32"/>
          <w:szCs w:val="32"/>
        </w:rPr>
        <w:t>维保单位</w:t>
      </w:r>
      <w:r>
        <w:rPr>
          <w:rFonts w:hint="eastAsia" w:ascii="仿宋_GB2312" w:hAnsi="仿宋" w:eastAsia="仿宋_GB2312" w:cs="Calibri"/>
          <w:color w:val="000000"/>
          <w:kern w:val="0"/>
          <w:sz w:val="32"/>
          <w:szCs w:val="32"/>
        </w:rPr>
        <w:t>必须提供符合国家相关标准的，符合配件耗材清单相应品牌型号的配件和材料，并按配件清单价格执行结算。</w:t>
      </w:r>
      <w:r>
        <w:rPr>
          <w:rFonts w:hint="eastAsia" w:ascii="仿宋_GB2312" w:hAnsi="仿宋" w:eastAsia="仿宋_GB2312"/>
          <w:sz w:val="32"/>
          <w:szCs w:val="32"/>
        </w:rPr>
        <w:t>维保单位每次在维护过程中所需单价100元以内的换件材料由维保单位承担，单次换件总价值超过800元的，超出部分由医院承担。</w:t>
      </w:r>
    </w:p>
    <w:p>
      <w:pPr>
        <w:widowControl/>
        <w:shd w:val="clear" w:color="auto" w:fill="FFFFFF"/>
        <w:spacing w:line="360" w:lineRule="atLeast"/>
        <w:ind w:firstLine="320" w:firstLineChars="1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四、</w:t>
      </w:r>
      <w:r>
        <w:rPr>
          <w:rFonts w:hint="eastAsia" w:ascii="仿宋_GB2312" w:hAnsi="仿宋" w:eastAsia="仿宋_GB2312"/>
          <w:sz w:val="32"/>
          <w:szCs w:val="32"/>
        </w:rPr>
        <w:t>维保单位需具有</w:t>
      </w:r>
      <w:r>
        <w:rPr>
          <w:rFonts w:hint="eastAsia" w:ascii="仿宋_GB2312" w:hAnsi="仿宋" w:eastAsia="仿宋_GB2312" w:cs="Calibri"/>
          <w:color w:val="000000"/>
          <w:kern w:val="0"/>
          <w:sz w:val="32"/>
          <w:szCs w:val="32"/>
        </w:rPr>
        <w:t>国家相关规定的消防维保资质</w:t>
      </w:r>
      <w:r>
        <w:rPr>
          <w:rFonts w:hint="eastAsia" w:ascii="仿宋_GB2312" w:hAnsi="仿宋" w:eastAsia="仿宋_GB2312"/>
          <w:sz w:val="32"/>
          <w:szCs w:val="32"/>
        </w:rPr>
        <w:t>，提供相关资质复印件并盖公章;提供服务人员名单、联系电话、操作证及身份证复印件加盖单位公章，承诺接到医院的报修和应急救援要求后，能够在120分钟之内到达现场进行处置。</w:t>
      </w:r>
    </w:p>
    <w:p>
      <w:pPr>
        <w:widowControl/>
        <w:shd w:val="clear" w:color="auto" w:fill="FFFFFF"/>
        <w:spacing w:line="360" w:lineRule="atLeast"/>
        <w:ind w:firstLine="320" w:firstLineChars="100"/>
        <w:rPr>
          <w:rFonts w:ascii="仿宋_GB2312" w:hAnsi="仿宋" w:eastAsia="仿宋_GB2312" w:cs="Calibri"/>
          <w:color w:val="666666"/>
          <w:kern w:val="0"/>
          <w:sz w:val="32"/>
          <w:szCs w:val="32"/>
        </w:rPr>
      </w:pPr>
      <w:r>
        <w:rPr>
          <w:rFonts w:hint="eastAsia" w:ascii="仿宋_GB2312" w:hAnsi="仿宋" w:eastAsia="仿宋_GB2312" w:cs="Calibri"/>
          <w:color w:val="000000"/>
          <w:kern w:val="0"/>
          <w:sz w:val="32"/>
          <w:szCs w:val="32"/>
        </w:rPr>
        <w:t>五、费用支付方式：签订合同15日内付一年维护费用的30%，待满一年，乙方完成履行合同义务后5日内付一年维护费的70%；第二年支付方式同第一年。</w:t>
      </w:r>
      <w:r>
        <w:rPr>
          <w:rFonts w:hint="eastAsia" w:ascii="仿宋_GB2312" w:hAnsi="仿宋" w:eastAsia="仿宋_GB2312" w:cs="Calibri"/>
          <w:color w:val="666666"/>
          <w:kern w:val="0"/>
          <w:sz w:val="32"/>
          <w:szCs w:val="32"/>
        </w:rPr>
        <w:t xml:space="preserve"> </w:t>
      </w:r>
    </w:p>
    <w:p>
      <w:pPr>
        <w:widowControl/>
        <w:shd w:val="clear" w:color="auto" w:fill="FFFFFF"/>
        <w:spacing w:line="360" w:lineRule="atLeast"/>
        <w:ind w:firstLine="320" w:firstLineChars="1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六、询价采购相关事宜：</w:t>
      </w:r>
    </w:p>
    <w:p>
      <w:pPr>
        <w:widowControl/>
        <w:shd w:val="clear" w:color="auto" w:fill="FFFFFF"/>
        <w:spacing w:line="360" w:lineRule="atLeast"/>
        <w:ind w:firstLine="320" w:firstLineChars="1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1、询价文件递交地点：富顺县人民医院安全保卫科</w:t>
      </w:r>
    </w:p>
    <w:p>
      <w:pPr>
        <w:widowControl/>
        <w:shd w:val="clear" w:color="auto" w:fill="FFFFFF"/>
        <w:spacing w:line="360" w:lineRule="atLeast"/>
        <w:ind w:firstLine="320" w:firstLineChars="1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2、咨询联系人：乔先生 电话：13990024801</w:t>
      </w:r>
      <w:r>
        <w:rPr>
          <w:rFonts w:hint="eastAsia" w:ascii="仿宋" w:hAnsi="仿宋" w:eastAsia="仿宋_GB2312" w:cs="Calibri"/>
          <w:color w:val="000000"/>
          <w:kern w:val="0"/>
          <w:sz w:val="32"/>
          <w:szCs w:val="32"/>
        </w:rPr>
        <w:t>  </w:t>
      </w:r>
    </w:p>
    <w:p>
      <w:pPr>
        <w:widowControl/>
        <w:shd w:val="clear" w:color="auto" w:fill="FFFFFF"/>
        <w:spacing w:line="360" w:lineRule="atLeast"/>
        <w:ind w:left="319" w:leftChars="152"/>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3、提交询价文件的截止日期：北京时间2020年5月 30日10时整。</w:t>
      </w:r>
    </w:p>
    <w:p>
      <w:pPr>
        <w:widowControl/>
        <w:shd w:val="clear" w:color="auto" w:fill="FFFFFF"/>
        <w:spacing w:line="360" w:lineRule="atLeast"/>
        <w:ind w:firstLine="320" w:firstLineChars="1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3、询价评审时间：北京时间2020年5月30日10时整。</w:t>
      </w:r>
    </w:p>
    <w:p>
      <w:pPr>
        <w:widowControl/>
        <w:shd w:val="clear" w:color="auto" w:fill="FFFFFF"/>
        <w:spacing w:line="360" w:lineRule="atLeast"/>
        <w:ind w:left="319" w:leftChars="152"/>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4、所有报价保留到整数，填写的所有报价将作为本次采购唯一的最终报价依据。</w:t>
      </w:r>
    </w:p>
    <w:p>
      <w:pPr>
        <w:widowControl/>
        <w:shd w:val="clear" w:color="auto" w:fill="FFFFFF"/>
        <w:spacing w:line="360" w:lineRule="atLeast"/>
        <w:ind w:firstLine="320" w:firstLineChars="1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5、本次询价采购最终解释权归采购人所有。</w:t>
      </w:r>
    </w:p>
    <w:p>
      <w:pPr>
        <w:widowControl/>
        <w:shd w:val="clear" w:color="auto" w:fill="FFFFFF"/>
        <w:spacing w:line="360" w:lineRule="atLeast"/>
        <w:rPr>
          <w:rFonts w:ascii="仿宋_GB2312" w:hAnsi="仿宋" w:eastAsia="仿宋_GB2312" w:cs="Calibri"/>
          <w:color w:val="000000"/>
          <w:kern w:val="0"/>
          <w:sz w:val="32"/>
          <w:szCs w:val="32"/>
        </w:rPr>
      </w:pPr>
    </w:p>
    <w:p>
      <w:pPr>
        <w:widowControl/>
        <w:shd w:val="clear" w:color="auto" w:fill="FFFFFF"/>
        <w:spacing w:line="360" w:lineRule="atLeast"/>
        <w:rPr>
          <w:rFonts w:ascii="仿宋_GB2312" w:hAnsi="仿宋" w:eastAsia="仿宋_GB2312" w:cs="Calibri"/>
          <w:color w:val="000000"/>
          <w:kern w:val="0"/>
          <w:sz w:val="32"/>
          <w:szCs w:val="32"/>
        </w:rPr>
      </w:pPr>
    </w:p>
    <w:p>
      <w:pPr>
        <w:widowControl/>
        <w:shd w:val="clear" w:color="auto" w:fill="FFFFFF"/>
        <w:spacing w:line="360" w:lineRule="atLeast"/>
        <w:ind w:firstLine="1120" w:firstLineChars="35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富顺县人民医院消防系统维护保养标准</w:t>
      </w:r>
    </w:p>
    <w:tbl>
      <w:tblPr>
        <w:tblStyle w:val="4"/>
        <w:tblW w:w="11344" w:type="dxa"/>
        <w:tblInd w:w="-1261" w:type="dxa"/>
        <w:shd w:val="clear" w:color="auto" w:fill="FFFFFF"/>
        <w:tblLayout w:type="fixed"/>
        <w:tblCellMar>
          <w:top w:w="15" w:type="dxa"/>
          <w:left w:w="15" w:type="dxa"/>
          <w:bottom w:w="15" w:type="dxa"/>
          <w:right w:w="15" w:type="dxa"/>
        </w:tblCellMar>
      </w:tblPr>
      <w:tblGrid>
        <w:gridCol w:w="10994"/>
        <w:gridCol w:w="350"/>
      </w:tblGrid>
      <w:tr>
        <w:tblPrEx>
          <w:shd w:val="clear" w:color="auto" w:fill="FFFFFF"/>
          <w:tblCellMar>
            <w:top w:w="15" w:type="dxa"/>
            <w:left w:w="15" w:type="dxa"/>
            <w:bottom w:w="15" w:type="dxa"/>
            <w:right w:w="15" w:type="dxa"/>
          </w:tblCellMar>
        </w:tblPrEx>
        <w:trPr>
          <w:trHeight w:val="765" w:hRule="atLeast"/>
        </w:trPr>
        <w:tc>
          <w:tcPr>
            <w:tcW w:w="10994" w:type="dxa"/>
            <w:tcBorders>
              <w:top w:val="nil"/>
              <w:left w:val="nil"/>
              <w:bottom w:val="nil"/>
              <w:right w:val="nil"/>
            </w:tcBorders>
            <w:shd w:val="clear" w:color="auto" w:fill="FFFFFF"/>
            <w:vAlign w:val="center"/>
          </w:tcPr>
          <w:tbl>
            <w:tblPr>
              <w:tblStyle w:val="4"/>
              <w:tblpPr w:leftFromText="180" w:rightFromText="180" w:vertAnchor="text" w:horzAnchor="margin" w:tblpXSpec="center" w:tblpY="-3565"/>
              <w:tblOverlap w:val="never"/>
              <w:tblW w:w="10788" w:type="dxa"/>
              <w:tblInd w:w="0" w:type="dxa"/>
              <w:tblLayout w:type="fixed"/>
              <w:tblCellMar>
                <w:top w:w="0" w:type="dxa"/>
                <w:left w:w="108" w:type="dxa"/>
                <w:bottom w:w="0" w:type="dxa"/>
                <w:right w:w="108" w:type="dxa"/>
              </w:tblCellMar>
            </w:tblPr>
            <w:tblGrid>
              <w:gridCol w:w="582"/>
              <w:gridCol w:w="709"/>
              <w:gridCol w:w="1276"/>
              <w:gridCol w:w="5670"/>
              <w:gridCol w:w="1276"/>
              <w:gridCol w:w="1275"/>
            </w:tblGrid>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shd w:val="clear" w:color="000000" w:fill="C0C0C0"/>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序号</w:t>
                  </w:r>
                </w:p>
              </w:tc>
              <w:tc>
                <w:tcPr>
                  <w:tcW w:w="709" w:type="dxa"/>
                  <w:tcBorders>
                    <w:top w:val="nil"/>
                    <w:left w:val="nil"/>
                    <w:bottom w:val="single" w:color="auto" w:sz="4" w:space="0"/>
                    <w:right w:val="single" w:color="auto" w:sz="4" w:space="0"/>
                  </w:tcBorders>
                  <w:shd w:val="clear" w:color="000000" w:fill="C0C0C0"/>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维保项目</w:t>
                  </w:r>
                </w:p>
              </w:tc>
              <w:tc>
                <w:tcPr>
                  <w:tcW w:w="1276" w:type="dxa"/>
                  <w:tcBorders>
                    <w:top w:val="nil"/>
                    <w:left w:val="nil"/>
                    <w:bottom w:val="single" w:color="auto" w:sz="4" w:space="0"/>
                    <w:right w:val="single" w:color="auto" w:sz="4" w:space="0"/>
                  </w:tcBorders>
                  <w:shd w:val="clear" w:color="000000" w:fill="C0C0C0"/>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维保内容</w:t>
                  </w:r>
                </w:p>
              </w:tc>
              <w:tc>
                <w:tcPr>
                  <w:tcW w:w="5670" w:type="dxa"/>
                  <w:tcBorders>
                    <w:top w:val="nil"/>
                    <w:left w:val="nil"/>
                    <w:bottom w:val="single" w:color="auto" w:sz="4" w:space="0"/>
                    <w:right w:val="single" w:color="auto" w:sz="4" w:space="0"/>
                  </w:tcBorders>
                  <w:shd w:val="clear" w:color="000000" w:fill="C0C0C0"/>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维保标准</w:t>
                  </w:r>
                </w:p>
              </w:tc>
              <w:tc>
                <w:tcPr>
                  <w:tcW w:w="1276" w:type="dxa"/>
                  <w:tcBorders>
                    <w:top w:val="nil"/>
                    <w:left w:val="nil"/>
                    <w:bottom w:val="single" w:color="auto" w:sz="4" w:space="0"/>
                    <w:right w:val="single" w:color="auto" w:sz="4" w:space="0"/>
                  </w:tcBorders>
                  <w:shd w:val="clear" w:color="000000" w:fill="C0C0C0"/>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维保频次</w:t>
                  </w:r>
                </w:p>
              </w:tc>
              <w:tc>
                <w:tcPr>
                  <w:tcW w:w="1275" w:type="dxa"/>
                  <w:tcBorders>
                    <w:top w:val="nil"/>
                    <w:left w:val="nil"/>
                    <w:bottom w:val="single" w:color="auto" w:sz="4" w:space="0"/>
                    <w:right w:val="single" w:color="auto" w:sz="4" w:space="0"/>
                  </w:tcBorders>
                  <w:shd w:val="clear" w:color="000000" w:fill="C0C0C0"/>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备注</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火灾自动报警系统</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消防报警主机</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检验主备电源切换功能</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正常运行，无报警、无屏蔽、无故障</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主机内部除尘、螺丝紧固</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声光报警器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主机远程启动各楼层声光测试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消防主机处于自动状态，有火警发生时，观察声光是否动作</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楼层显示器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固定牢靠、外观无损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现场报警测试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8</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端子箱与模块箱</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线路检查、端子紧固</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9</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内部除尘</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手动报警按钮</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抽检测试，测试数量不少于总数的50%</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11</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电源切除</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消防主机处于自动状态，有火警发生时，观察非电源切除是否动作</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消防电梯</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消防主机处于自动状态，当有火警发生时，观察消防电梯是否迫降到首层</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烟感温感探测器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抽检测试，检查数量不少于总数的25%</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14</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抽检测试，检查数量不少于总数的25%</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15</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对所有探测器进行清洗一次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每两年</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消防广播</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广播固定牢靠、外观无损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主机远程启动各楼层广播测试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18</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消防主机处于自动状态，当有火警发生时，观察相邻层内的广播是否动作</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19</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自动喷水灭火系统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喷淋头</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装饰罩、喷头、溅水盘完好</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喷林泵</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现场手动启停水泵测试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21</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消防主机远程启停水泵测试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9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喷林配电柜处于自动控制状态，各楼层末端放水测试。观察本区域的水流指示器、水力警铃是否动作、消防主机是否收到该层压力开关报警反馈，喷林泵是否启动；其中末端试水装置放水检查数量不少于总数量的25%.</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阀门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启闭功能是否正常</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24</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管网</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对喷淋管网进行清洗一次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每两年</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25</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室外消防水箱</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对室外消防水箱清洗与表面防锈处理</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稳压测试</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管网压力低于设定值时稳压系统是否正常补压</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管网压力</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压力表读数达到国家技术规范要求</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28</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消火栓系统</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消火栓泵</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现场手动启停水泵测试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29</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消防主机远程启停水泵测试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配电柜处于自动控制状态，消火栓按钮直接启泵测试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31</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管网压力</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管道有水，泵房消火栓供水管道压力达到国家技术规范要求</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消火栓</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栓杆上油</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管网</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对消火栓管网进行清洗一次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每两年</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34</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管道、阀门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管道无渗水、漏水现象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35</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消防水泵</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泵体</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检查、补充、替换润滑油</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盘根良好，泵体无渗水、溢水、砂眼</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转动灵活，无卡壳，泵轴与电机轴在同一中心线，机座紧固，螺丝无锈</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38</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外观整洁，油漆完好，标志清楚，铭牌字迹清晰</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39</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水泵附件</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单向阀动作灵活，无漏</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压力表指针灵活，指示准确，表盘清晰，位置便于观察，坚固良好，表阀及接头不渗水</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水泵电机</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外观整洁，铭牌清晰，各部件紧固牢靠，联轴器有保护罩</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线耳联接端紧密牢靠，无变色迹象，无裸露部分，接地良好</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水泵控制柜</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线路检查、端子紧固</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44</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内部除尘</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45</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防火卷帘系统</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防火卷帘门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控制箱通电情况</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备电检查与测试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现场手动正常启动，主机远程启动</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48</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消防主机处于自动状态，当有火警发生时，观察本层与相临层的防火卷帘门是否迫降</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49</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对防火卷帘等机械设备进行加油润滑</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50</w:t>
                  </w:r>
                </w:p>
              </w:tc>
              <w:tc>
                <w:tcPr>
                  <w:tcW w:w="709" w:type="dxa"/>
                  <w:vMerge w:val="restart"/>
                  <w:tcBorders>
                    <w:top w:val="nil"/>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4"/>
                      <w:szCs w:val="24"/>
                    </w:rPr>
                  </w:pPr>
                  <w:r>
                    <w:rPr>
                      <w:rFonts w:hint="eastAsia" w:ascii="仿宋_GB2312" w:hAnsi="仿宋" w:eastAsia="仿宋_GB2312" w:cs="宋体"/>
                      <w:kern w:val="0"/>
                      <w:sz w:val="24"/>
                      <w:szCs w:val="24"/>
                    </w:rPr>
                    <w:t>送风、排烟系统</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风机</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控制箱通电情况</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51</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现场手动启停风机测试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消防主机远程启停风机测试</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向转动部位加润滑油，保证联轴器及轴承的灵活性及稳定性</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54</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对室外的风机表面进行一次刷漆防锈处理</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每年一次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55</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防火阀、送风阀、排烟阀</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启闭功能是否正</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正压风机、排烟风机</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消防主机、风机配电柜处于自动控制状态，当本层内有火警发生时风机是否启动</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送风阀、排烟阀</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消防主机处于自动控制状态，当本层内有火警发生时观察本层正压送风阀、排烟阀、等是否动作</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58</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消防通讯</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电话分机</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电话分机与消防控制室电话主机之间的通讯</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59</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电话插孔</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手柄电话与消防控制室电话主机之间的通讯</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60</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气体灭火系统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贮存容器压力</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贮存压力是否在规定值的+10%范围之内</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61</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阀门</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瓶头阀、电磁阀是否在正常的开关状态</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其他</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系统中是否有机械损伤和失灵，所有的铅封和保险带都应完好无损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63</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功能测试</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各项功能是否正常</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675"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64</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应急系统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疏散指示、安全出口指示、应急灯</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放电试验</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每季一次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CellMar>
                  <w:top w:w="0" w:type="dxa"/>
                  <w:left w:w="108" w:type="dxa"/>
                  <w:bottom w:w="0" w:type="dxa"/>
                  <w:right w:w="108" w:type="dxa"/>
                </w:tblCellMar>
              </w:tblPrEx>
              <w:trPr>
                <w:trHeight w:val="720"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65</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疏散指示、安全出口指示、应急灯</w:t>
                  </w:r>
                </w:p>
              </w:tc>
              <w:tc>
                <w:tcPr>
                  <w:tcW w:w="5670"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安装固定、牢靠，正常充放电</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每月一次</w:t>
                  </w:r>
                </w:p>
              </w:tc>
              <w:tc>
                <w:tcPr>
                  <w:tcW w:w="12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bl>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hint="eastAsia"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sz w:val="32"/>
                <w:szCs w:val="32"/>
              </w:rPr>
              <w:t>附件：维保服务报价单和配件耗材报价单</w:t>
            </w:r>
          </w:p>
          <w:tbl>
            <w:tblPr>
              <w:tblStyle w:val="4"/>
              <w:tblW w:w="10269" w:type="dxa"/>
              <w:tblInd w:w="0" w:type="dxa"/>
              <w:tblLayout w:type="fixed"/>
              <w:tblCellMar>
                <w:top w:w="0" w:type="dxa"/>
                <w:left w:w="108" w:type="dxa"/>
                <w:bottom w:w="0" w:type="dxa"/>
                <w:right w:w="108" w:type="dxa"/>
              </w:tblCellMar>
            </w:tblPr>
            <w:tblGrid>
              <w:gridCol w:w="5773"/>
              <w:gridCol w:w="1359"/>
              <w:gridCol w:w="3137"/>
            </w:tblGrid>
            <w:tr>
              <w:tblPrEx>
                <w:tblCellMar>
                  <w:top w:w="0" w:type="dxa"/>
                  <w:left w:w="108" w:type="dxa"/>
                  <w:bottom w:w="0" w:type="dxa"/>
                  <w:right w:w="108" w:type="dxa"/>
                </w:tblCellMar>
              </w:tblPrEx>
              <w:trPr>
                <w:trHeight w:val="510" w:hRule="atLeast"/>
              </w:trPr>
              <w:tc>
                <w:tcPr>
                  <w:tcW w:w="5773" w:type="dxa"/>
                  <w:tcBorders>
                    <w:top w:val="nil"/>
                    <w:left w:val="nil"/>
                    <w:bottom w:val="nil"/>
                    <w:right w:val="nil"/>
                  </w:tcBorders>
                  <w:shd w:val="clear" w:color="auto" w:fill="auto"/>
                  <w:noWrap/>
                  <w:vAlign w:val="center"/>
                </w:tcPr>
                <w:p>
                  <w:pPr>
                    <w:widowControl/>
                    <w:wordWrap w:val="0"/>
                    <w:jc w:val="right"/>
                    <w:rPr>
                      <w:rFonts w:ascii="仿宋_GB2312" w:hAnsi="宋体" w:eastAsia="仿宋_GB2312" w:cs="宋体"/>
                      <w:b/>
                      <w:bCs/>
                      <w:kern w:val="0"/>
                      <w:sz w:val="40"/>
                      <w:szCs w:val="40"/>
                    </w:rPr>
                  </w:pPr>
                  <w:r>
                    <w:rPr>
                      <w:rFonts w:hint="eastAsia" w:ascii="仿宋_GB2312" w:hAnsi="宋体" w:eastAsia="仿宋_GB2312" w:cs="宋体"/>
                      <w:b/>
                      <w:bCs/>
                      <w:kern w:val="0"/>
                      <w:sz w:val="40"/>
                      <w:szCs w:val="40"/>
                    </w:rPr>
                    <w:t xml:space="preserve">         消防系统配件报价单</w:t>
                  </w:r>
                </w:p>
              </w:tc>
              <w:tc>
                <w:tcPr>
                  <w:tcW w:w="1359"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p>
              </w:tc>
              <w:tc>
                <w:tcPr>
                  <w:tcW w:w="3137"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p>
              </w:tc>
            </w:tr>
          </w:tbl>
          <w:p/>
          <w:tbl>
            <w:tblPr>
              <w:tblStyle w:val="4"/>
              <w:tblW w:w="10269" w:type="dxa"/>
              <w:tblInd w:w="0" w:type="dxa"/>
              <w:tblLayout w:type="fixed"/>
              <w:tblCellMar>
                <w:top w:w="0" w:type="dxa"/>
                <w:left w:w="108" w:type="dxa"/>
                <w:bottom w:w="0" w:type="dxa"/>
                <w:right w:w="108" w:type="dxa"/>
              </w:tblCellMar>
            </w:tblPr>
            <w:tblGrid>
              <w:gridCol w:w="5773"/>
              <w:gridCol w:w="1359"/>
              <w:gridCol w:w="1568"/>
              <w:gridCol w:w="1569"/>
            </w:tblGrid>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品名</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单位</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单价（元）</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报价（元）</w:t>
                  </w: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通讯线485</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热镀锌管DN20#</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配线1.5mm2</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配线2mm</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总线隔离模块  LD-8321</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感温探测器（含底座）JTY-GD-G3</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个（点型）</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40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光电感烟探测器（含底座）JTY-GM-GST9611</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个（点型）</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420"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手动报警按扭  J-SAP-8402</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消火栓按扭    LD-8040</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声光报警器（含底座）HX-100B </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单输入输出模块（含底座）LD8301</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单输入模块（含底座）LD8300</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消防报警电话</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吸顶式扬声器</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钢质接线盒  75*75*50</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防火卷帘面板</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灭火器(力杰MFZ/ABC4)</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具（4公斤）</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灭火器箱(华西.2具装）板材0.8MM</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58</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海湾编码器</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安吉斯编码器</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420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广播模块LD-8304</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98"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安全疏散指示牌（带灯，包括单面、双面）</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块（单面）</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90"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安全疏散指示牌（嵌入式）</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宋体" w:eastAsia="仿宋_GB2312" w:cs="宋体"/>
                      <w:kern w:val="0"/>
                      <w:sz w:val="24"/>
                      <w:szCs w:val="24"/>
                    </w:rPr>
                  </w:pPr>
                </w:p>
              </w:tc>
              <w:tc>
                <w:tcPr>
                  <w:tcW w:w="15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80</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RVC双绞线</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PVC难燃直径15塑料管</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难燃分线盒（含底座）</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DN80#摇控液压阀</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DN80#胶垫</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张</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锣丝</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15#浮球阀</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金属软管直径15</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自动喷淋头</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金属软管</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电线（双绞阻燃）2.5</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消防水带（沱雨C8-65-20）</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条</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推车式水基型灭火器MSTZ/45</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1035</w:t>
                  </w:r>
                </w:p>
              </w:tc>
              <w:tc>
                <w:tcPr>
                  <w:tcW w:w="15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7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应急照明灯 双头（新国标GB17945-2010）3小时以上</w:t>
                  </w:r>
                </w:p>
                <w:p>
                  <w:pPr>
                    <w:widowControl/>
                    <w:jc w:val="left"/>
                    <w:rPr>
                      <w:rFonts w:ascii="仿宋_GB2312" w:hAnsi="宋体" w:eastAsia="仿宋_GB2312" w:cs="宋体"/>
                      <w:kern w:val="0"/>
                      <w:sz w:val="24"/>
                      <w:szCs w:val="24"/>
                    </w:rPr>
                  </w:pP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组</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105</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p>
              </w:tc>
            </w:tr>
          </w:tbl>
          <w:p>
            <w:pPr>
              <w:widowControl/>
              <w:ind w:left="909" w:leftChars="433"/>
              <w:jc w:val="left"/>
              <w:textAlignment w:val="center"/>
              <w:rPr>
                <w:rFonts w:ascii="仿宋_GB2312" w:hAnsi="仿宋" w:eastAsia="仿宋_GB2312" w:cs="Calibri"/>
                <w:color w:val="666666"/>
                <w:kern w:val="0"/>
                <w:sz w:val="32"/>
                <w:szCs w:val="32"/>
              </w:rPr>
            </w:pPr>
          </w:p>
        </w:tc>
        <w:tc>
          <w:tcPr>
            <w:tcW w:w="350" w:type="dxa"/>
            <w:tcBorders>
              <w:top w:val="nil"/>
              <w:left w:val="nil"/>
              <w:bottom w:val="nil"/>
              <w:right w:val="nil"/>
            </w:tcBorders>
            <w:shd w:val="clear" w:color="auto" w:fill="FFFFFF"/>
            <w:vAlign w:val="center"/>
          </w:tcPr>
          <w:p>
            <w:pPr>
              <w:widowControl/>
              <w:rPr>
                <w:rFonts w:ascii="仿宋_GB2312" w:hAnsi="仿宋" w:eastAsia="仿宋_GB2312" w:cs="Calibri"/>
                <w:color w:val="666666"/>
                <w:kern w:val="0"/>
                <w:sz w:val="32"/>
                <w:szCs w:val="32"/>
              </w:rPr>
            </w:pPr>
            <w:r>
              <w:rPr>
                <w:rFonts w:hint="eastAsia" w:ascii="仿宋_GB2312" w:hAnsi="宋体" w:eastAsia="仿宋_GB2312" w:cs="宋体"/>
                <w:color w:val="666666"/>
                <w:kern w:val="0"/>
                <w:sz w:val="32"/>
                <w:szCs w:val="32"/>
              </w:rPr>
              <w:t> </w:t>
            </w:r>
          </w:p>
        </w:tc>
      </w:tr>
    </w:tbl>
    <w:p>
      <w:pPr>
        <w:rPr>
          <w:rFonts w:ascii="仿宋" w:hAnsi="仿宋" w:eastAsia="仿宋"/>
          <w:sz w:val="32"/>
          <w:szCs w:val="32"/>
        </w:rPr>
      </w:pPr>
      <w:r>
        <w:rPr>
          <w:rFonts w:hint="eastAsia" w:ascii="仿宋" w:hAnsi="仿宋" w:eastAsia="仿宋"/>
          <w:sz w:val="32"/>
          <w:szCs w:val="32"/>
        </w:rPr>
        <w:t xml:space="preserve"> </w:t>
      </w:r>
    </w:p>
    <w:p>
      <w:pPr>
        <w:ind w:firstLine="3520" w:firstLineChars="1100"/>
        <w:rPr>
          <w:rFonts w:ascii="仿宋" w:hAnsi="仿宋" w:eastAsia="仿宋"/>
          <w:sz w:val="32"/>
          <w:szCs w:val="32"/>
        </w:rPr>
      </w:pPr>
      <w:r>
        <w:rPr>
          <w:rFonts w:hint="eastAsia" w:ascii="仿宋" w:hAnsi="仿宋" w:eastAsia="仿宋"/>
          <w:sz w:val="32"/>
          <w:szCs w:val="32"/>
        </w:rPr>
        <w:t>报 价 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522" w:type="dxa"/>
          </w:tcPr>
          <w:p>
            <w:pPr>
              <w:rPr>
                <w:rFonts w:ascii="仿宋" w:hAnsi="仿宋" w:eastAsia="仿宋"/>
                <w:sz w:val="32"/>
                <w:szCs w:val="32"/>
              </w:rPr>
            </w:pPr>
            <w:r>
              <w:rPr>
                <w:rFonts w:hint="eastAsia" w:ascii="仿宋" w:hAnsi="仿宋" w:eastAsia="仿宋"/>
                <w:sz w:val="32"/>
                <w:szCs w:val="32"/>
              </w:rPr>
              <w:t>项目名称：富顺县人民医院消防设施维保费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8522" w:type="dxa"/>
          </w:tcPr>
          <w:p>
            <w:pPr>
              <w:rPr>
                <w:rFonts w:ascii="仿宋" w:hAnsi="仿宋" w:eastAsia="仿宋"/>
                <w:sz w:val="32"/>
                <w:szCs w:val="32"/>
              </w:rPr>
            </w:pPr>
            <w:r>
              <w:rPr>
                <w:rFonts w:hint="eastAsia" w:ascii="仿宋" w:hAnsi="仿宋" w:eastAsia="仿宋"/>
                <w:sz w:val="32"/>
                <w:szCs w:val="32"/>
              </w:rPr>
              <w:t xml:space="preserve">报价金额：       元/年 （大写：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hd w:val="clear" w:color="auto" w:fill="FFFFFF"/>
              <w:spacing w:line="360" w:lineRule="atLeast"/>
              <w:ind w:firstLine="560"/>
              <w:rPr>
                <w:rFonts w:ascii="仿宋" w:hAnsi="仿宋" w:eastAsia="仿宋" w:cs="Calibri"/>
                <w:color w:val="000000"/>
                <w:kern w:val="0"/>
                <w:sz w:val="32"/>
                <w:szCs w:val="32"/>
              </w:rPr>
            </w:pPr>
            <w:r>
              <w:rPr>
                <w:rFonts w:hint="eastAsia" w:ascii="仿宋" w:hAnsi="仿宋" w:eastAsia="仿宋" w:cs="Calibri"/>
                <w:color w:val="000000"/>
                <w:kern w:val="0"/>
                <w:sz w:val="32"/>
                <w:szCs w:val="32"/>
              </w:rPr>
              <w:t>备注：1、报价应包括人工、交通、住宿、税金、安全措施等全部费用。</w:t>
            </w:r>
          </w:p>
          <w:p>
            <w:pPr>
              <w:widowControl/>
              <w:shd w:val="clear" w:color="auto" w:fill="FFFFFF"/>
              <w:spacing w:line="360" w:lineRule="atLeast"/>
              <w:ind w:firstLine="560"/>
              <w:rPr>
                <w:rFonts w:ascii="仿宋" w:hAnsi="仿宋" w:eastAsia="仿宋" w:cs="Calibri"/>
                <w:color w:val="000000"/>
                <w:kern w:val="0"/>
                <w:sz w:val="32"/>
                <w:szCs w:val="32"/>
              </w:rPr>
            </w:pPr>
            <w:r>
              <w:rPr>
                <w:rFonts w:hint="eastAsia" w:ascii="仿宋" w:hAnsi="仿宋" w:eastAsia="仿宋" w:cs="Calibri"/>
                <w:color w:val="000000"/>
                <w:kern w:val="0"/>
                <w:sz w:val="32"/>
                <w:szCs w:val="32"/>
              </w:rPr>
              <w:t xml:space="preserve">      2、所有报价保留到整数，填写的所有报价将作为本次采购唯一的最终报价依据</w:t>
            </w:r>
          </w:p>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320" w:firstLineChars="1350"/>
              <w:rPr>
                <w:rFonts w:ascii="仿宋" w:hAnsi="仿宋" w:eastAsia="仿宋"/>
                <w:sz w:val="32"/>
                <w:szCs w:val="32"/>
              </w:rPr>
            </w:pPr>
            <w:r>
              <w:rPr>
                <w:rFonts w:hint="eastAsia" w:ascii="仿宋" w:hAnsi="仿宋" w:eastAsia="仿宋"/>
                <w:sz w:val="32"/>
                <w:szCs w:val="32"/>
              </w:rPr>
              <w:t>报价单位盖章：</w:t>
            </w:r>
          </w:p>
        </w:tc>
      </w:tr>
    </w:tbl>
    <w:p>
      <w:pPr>
        <w:rPr>
          <w:rFonts w:ascii="仿宋" w:hAnsi="仿宋" w:eastAsia="仿宋"/>
          <w:sz w:val="32"/>
          <w:szCs w:val="32"/>
        </w:rPr>
      </w:pPr>
    </w:p>
    <w:p>
      <w:pPr>
        <w:rPr>
          <w:rFonts w:ascii="仿宋" w:hAnsi="仿宋" w:eastAsia="仿宋"/>
          <w:sz w:val="32"/>
          <w:szCs w:val="32"/>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F3"/>
    <w:rsid w:val="000053BC"/>
    <w:rsid w:val="00011E7B"/>
    <w:rsid w:val="00014285"/>
    <w:rsid w:val="00022D0D"/>
    <w:rsid w:val="00024A56"/>
    <w:rsid w:val="00026E20"/>
    <w:rsid w:val="0002771D"/>
    <w:rsid w:val="00055791"/>
    <w:rsid w:val="000626EC"/>
    <w:rsid w:val="000630DA"/>
    <w:rsid w:val="00077A16"/>
    <w:rsid w:val="000918FC"/>
    <w:rsid w:val="000921C7"/>
    <w:rsid w:val="000A1126"/>
    <w:rsid w:val="000A2845"/>
    <w:rsid w:val="000A45DA"/>
    <w:rsid w:val="000A4EAE"/>
    <w:rsid w:val="000A66B3"/>
    <w:rsid w:val="000C5DA1"/>
    <w:rsid w:val="000D21F4"/>
    <w:rsid w:val="000D44EA"/>
    <w:rsid w:val="000D6222"/>
    <w:rsid w:val="000E227E"/>
    <w:rsid w:val="000F1F04"/>
    <w:rsid w:val="000F2A95"/>
    <w:rsid w:val="00105ECA"/>
    <w:rsid w:val="0011059C"/>
    <w:rsid w:val="0011167E"/>
    <w:rsid w:val="001120DB"/>
    <w:rsid w:val="00123C74"/>
    <w:rsid w:val="001312D3"/>
    <w:rsid w:val="001339B9"/>
    <w:rsid w:val="00133D0A"/>
    <w:rsid w:val="00137BD2"/>
    <w:rsid w:val="0014474A"/>
    <w:rsid w:val="0014657A"/>
    <w:rsid w:val="00147464"/>
    <w:rsid w:val="00152204"/>
    <w:rsid w:val="00164EC8"/>
    <w:rsid w:val="00165A91"/>
    <w:rsid w:val="00180757"/>
    <w:rsid w:val="00187D32"/>
    <w:rsid w:val="001A59B2"/>
    <w:rsid w:val="001B3103"/>
    <w:rsid w:val="001D0ECE"/>
    <w:rsid w:val="001D334F"/>
    <w:rsid w:val="001D5FD9"/>
    <w:rsid w:val="00200EC4"/>
    <w:rsid w:val="00200EC5"/>
    <w:rsid w:val="002039FC"/>
    <w:rsid w:val="00207C3E"/>
    <w:rsid w:val="0022024A"/>
    <w:rsid w:val="002202CC"/>
    <w:rsid w:val="002269EE"/>
    <w:rsid w:val="00227CDA"/>
    <w:rsid w:val="002316DE"/>
    <w:rsid w:val="002324BA"/>
    <w:rsid w:val="002369A4"/>
    <w:rsid w:val="00236D60"/>
    <w:rsid w:val="00236EA2"/>
    <w:rsid w:val="00237195"/>
    <w:rsid w:val="002424BE"/>
    <w:rsid w:val="0024511B"/>
    <w:rsid w:val="00261DBD"/>
    <w:rsid w:val="002623AF"/>
    <w:rsid w:val="00263FE0"/>
    <w:rsid w:val="00264306"/>
    <w:rsid w:val="002737F0"/>
    <w:rsid w:val="0029130B"/>
    <w:rsid w:val="00291D3E"/>
    <w:rsid w:val="00294A27"/>
    <w:rsid w:val="00296408"/>
    <w:rsid w:val="00297361"/>
    <w:rsid w:val="00297CC2"/>
    <w:rsid w:val="002B0186"/>
    <w:rsid w:val="002C20E1"/>
    <w:rsid w:val="002D37EB"/>
    <w:rsid w:val="002E4576"/>
    <w:rsid w:val="002F1471"/>
    <w:rsid w:val="00305BA9"/>
    <w:rsid w:val="00327A10"/>
    <w:rsid w:val="003310FC"/>
    <w:rsid w:val="00335BF3"/>
    <w:rsid w:val="0033603A"/>
    <w:rsid w:val="00337A5B"/>
    <w:rsid w:val="0034074F"/>
    <w:rsid w:val="0034718F"/>
    <w:rsid w:val="0035140E"/>
    <w:rsid w:val="00351573"/>
    <w:rsid w:val="0035331F"/>
    <w:rsid w:val="00354A82"/>
    <w:rsid w:val="00381AC3"/>
    <w:rsid w:val="003843F3"/>
    <w:rsid w:val="0039012B"/>
    <w:rsid w:val="00394970"/>
    <w:rsid w:val="003A0525"/>
    <w:rsid w:val="003A14B8"/>
    <w:rsid w:val="003B4CC0"/>
    <w:rsid w:val="003B4E34"/>
    <w:rsid w:val="003B72A5"/>
    <w:rsid w:val="003C0377"/>
    <w:rsid w:val="003C32FA"/>
    <w:rsid w:val="003C6E3D"/>
    <w:rsid w:val="003D39B9"/>
    <w:rsid w:val="003E1164"/>
    <w:rsid w:val="003E3FEA"/>
    <w:rsid w:val="003F1BCE"/>
    <w:rsid w:val="003F5487"/>
    <w:rsid w:val="003F6364"/>
    <w:rsid w:val="00401F31"/>
    <w:rsid w:val="0040369A"/>
    <w:rsid w:val="00403D74"/>
    <w:rsid w:val="00410DD8"/>
    <w:rsid w:val="0041449A"/>
    <w:rsid w:val="004144AF"/>
    <w:rsid w:val="00415C4E"/>
    <w:rsid w:val="00416082"/>
    <w:rsid w:val="004222B6"/>
    <w:rsid w:val="00423EDC"/>
    <w:rsid w:val="00430203"/>
    <w:rsid w:val="004474B4"/>
    <w:rsid w:val="00450B50"/>
    <w:rsid w:val="00462428"/>
    <w:rsid w:val="00467610"/>
    <w:rsid w:val="00486C0F"/>
    <w:rsid w:val="00487667"/>
    <w:rsid w:val="00492558"/>
    <w:rsid w:val="00492CB1"/>
    <w:rsid w:val="00494C9A"/>
    <w:rsid w:val="004A2A08"/>
    <w:rsid w:val="004A40FD"/>
    <w:rsid w:val="004B3C8E"/>
    <w:rsid w:val="004E0BAB"/>
    <w:rsid w:val="004E41A2"/>
    <w:rsid w:val="004E4E19"/>
    <w:rsid w:val="004E72AD"/>
    <w:rsid w:val="004E73EB"/>
    <w:rsid w:val="004F71C2"/>
    <w:rsid w:val="00500F6C"/>
    <w:rsid w:val="00515825"/>
    <w:rsid w:val="00517A78"/>
    <w:rsid w:val="00520E57"/>
    <w:rsid w:val="00520FDE"/>
    <w:rsid w:val="00523B2E"/>
    <w:rsid w:val="00531F08"/>
    <w:rsid w:val="00542979"/>
    <w:rsid w:val="00544375"/>
    <w:rsid w:val="00550A73"/>
    <w:rsid w:val="00562D98"/>
    <w:rsid w:val="00564AED"/>
    <w:rsid w:val="0056586C"/>
    <w:rsid w:val="0057079E"/>
    <w:rsid w:val="00570A4C"/>
    <w:rsid w:val="0057264D"/>
    <w:rsid w:val="00573C5B"/>
    <w:rsid w:val="00582E15"/>
    <w:rsid w:val="0058419A"/>
    <w:rsid w:val="0058729C"/>
    <w:rsid w:val="00594A47"/>
    <w:rsid w:val="0059769D"/>
    <w:rsid w:val="005A218D"/>
    <w:rsid w:val="005A524E"/>
    <w:rsid w:val="005B1E68"/>
    <w:rsid w:val="005B773F"/>
    <w:rsid w:val="005F3646"/>
    <w:rsid w:val="005F4E11"/>
    <w:rsid w:val="006015D7"/>
    <w:rsid w:val="00605640"/>
    <w:rsid w:val="00610599"/>
    <w:rsid w:val="00610B11"/>
    <w:rsid w:val="00610C8A"/>
    <w:rsid w:val="006164D1"/>
    <w:rsid w:val="00622BB2"/>
    <w:rsid w:val="0062456B"/>
    <w:rsid w:val="00625F98"/>
    <w:rsid w:val="006314C2"/>
    <w:rsid w:val="00631571"/>
    <w:rsid w:val="0063401B"/>
    <w:rsid w:val="00656622"/>
    <w:rsid w:val="00660410"/>
    <w:rsid w:val="00666F01"/>
    <w:rsid w:val="0067355A"/>
    <w:rsid w:val="00676BD1"/>
    <w:rsid w:val="00677188"/>
    <w:rsid w:val="00682FB4"/>
    <w:rsid w:val="006835A1"/>
    <w:rsid w:val="006874FF"/>
    <w:rsid w:val="006971D3"/>
    <w:rsid w:val="006A4001"/>
    <w:rsid w:val="006A54B0"/>
    <w:rsid w:val="006B7B33"/>
    <w:rsid w:val="006C2E2E"/>
    <w:rsid w:val="006D3A7E"/>
    <w:rsid w:val="006D646B"/>
    <w:rsid w:val="006E28BC"/>
    <w:rsid w:val="006E4DD1"/>
    <w:rsid w:val="006E6576"/>
    <w:rsid w:val="006E777A"/>
    <w:rsid w:val="00700026"/>
    <w:rsid w:val="00715372"/>
    <w:rsid w:val="0073086F"/>
    <w:rsid w:val="00730FF8"/>
    <w:rsid w:val="00733557"/>
    <w:rsid w:val="007335A0"/>
    <w:rsid w:val="007433A1"/>
    <w:rsid w:val="00751488"/>
    <w:rsid w:val="0075178F"/>
    <w:rsid w:val="0075546C"/>
    <w:rsid w:val="00763D79"/>
    <w:rsid w:val="00767528"/>
    <w:rsid w:val="00774D6A"/>
    <w:rsid w:val="00777DC1"/>
    <w:rsid w:val="00784D57"/>
    <w:rsid w:val="00784E92"/>
    <w:rsid w:val="00790519"/>
    <w:rsid w:val="00791480"/>
    <w:rsid w:val="007925AB"/>
    <w:rsid w:val="00792857"/>
    <w:rsid w:val="00795D11"/>
    <w:rsid w:val="007A0BF3"/>
    <w:rsid w:val="007A2EE9"/>
    <w:rsid w:val="007A3CED"/>
    <w:rsid w:val="007B5751"/>
    <w:rsid w:val="007B7CBD"/>
    <w:rsid w:val="007C2504"/>
    <w:rsid w:val="007D2196"/>
    <w:rsid w:val="007E2D0C"/>
    <w:rsid w:val="007E4093"/>
    <w:rsid w:val="007E4410"/>
    <w:rsid w:val="007E5DFD"/>
    <w:rsid w:val="007F36E0"/>
    <w:rsid w:val="007F36EE"/>
    <w:rsid w:val="007F58C5"/>
    <w:rsid w:val="008062F2"/>
    <w:rsid w:val="00815EEF"/>
    <w:rsid w:val="00816BF0"/>
    <w:rsid w:val="00820818"/>
    <w:rsid w:val="008215A7"/>
    <w:rsid w:val="00822A13"/>
    <w:rsid w:val="0082569E"/>
    <w:rsid w:val="00832DBF"/>
    <w:rsid w:val="00841707"/>
    <w:rsid w:val="0084425A"/>
    <w:rsid w:val="00846F9A"/>
    <w:rsid w:val="008506F4"/>
    <w:rsid w:val="00860B19"/>
    <w:rsid w:val="00860BC0"/>
    <w:rsid w:val="00864B23"/>
    <w:rsid w:val="008666D9"/>
    <w:rsid w:val="00867564"/>
    <w:rsid w:val="008775E6"/>
    <w:rsid w:val="00885E51"/>
    <w:rsid w:val="00890CF7"/>
    <w:rsid w:val="0089330E"/>
    <w:rsid w:val="008949C1"/>
    <w:rsid w:val="008A2CAE"/>
    <w:rsid w:val="008B0270"/>
    <w:rsid w:val="008B0CC1"/>
    <w:rsid w:val="008B11EC"/>
    <w:rsid w:val="008C406B"/>
    <w:rsid w:val="008E3F40"/>
    <w:rsid w:val="008E413F"/>
    <w:rsid w:val="008F0880"/>
    <w:rsid w:val="00904BC2"/>
    <w:rsid w:val="009115F3"/>
    <w:rsid w:val="00935EC6"/>
    <w:rsid w:val="00940243"/>
    <w:rsid w:val="00943D7E"/>
    <w:rsid w:val="00946121"/>
    <w:rsid w:val="00955A90"/>
    <w:rsid w:val="00973212"/>
    <w:rsid w:val="009741D5"/>
    <w:rsid w:val="00977801"/>
    <w:rsid w:val="00986243"/>
    <w:rsid w:val="009B64DE"/>
    <w:rsid w:val="009C22BC"/>
    <w:rsid w:val="009D0098"/>
    <w:rsid w:val="009D1603"/>
    <w:rsid w:val="009D1FD8"/>
    <w:rsid w:val="009D4879"/>
    <w:rsid w:val="009E2276"/>
    <w:rsid w:val="009E617A"/>
    <w:rsid w:val="00A03AF9"/>
    <w:rsid w:val="00A06F2D"/>
    <w:rsid w:val="00A1381F"/>
    <w:rsid w:val="00A17D76"/>
    <w:rsid w:val="00A32B92"/>
    <w:rsid w:val="00A36F4E"/>
    <w:rsid w:val="00A40809"/>
    <w:rsid w:val="00A4349B"/>
    <w:rsid w:val="00A43E70"/>
    <w:rsid w:val="00A5273D"/>
    <w:rsid w:val="00A53114"/>
    <w:rsid w:val="00A625E3"/>
    <w:rsid w:val="00A62C89"/>
    <w:rsid w:val="00A6534A"/>
    <w:rsid w:val="00A74E92"/>
    <w:rsid w:val="00A7647C"/>
    <w:rsid w:val="00A775B4"/>
    <w:rsid w:val="00A8065D"/>
    <w:rsid w:val="00A8609D"/>
    <w:rsid w:val="00A95861"/>
    <w:rsid w:val="00A968A6"/>
    <w:rsid w:val="00AA0C61"/>
    <w:rsid w:val="00AA441A"/>
    <w:rsid w:val="00AB10AE"/>
    <w:rsid w:val="00AC0858"/>
    <w:rsid w:val="00AC734F"/>
    <w:rsid w:val="00AD4A03"/>
    <w:rsid w:val="00AD60E6"/>
    <w:rsid w:val="00AD6ACB"/>
    <w:rsid w:val="00AF1E4E"/>
    <w:rsid w:val="00AF5239"/>
    <w:rsid w:val="00B0050F"/>
    <w:rsid w:val="00B021FA"/>
    <w:rsid w:val="00B0543E"/>
    <w:rsid w:val="00B125DB"/>
    <w:rsid w:val="00B20E43"/>
    <w:rsid w:val="00B21576"/>
    <w:rsid w:val="00B268DB"/>
    <w:rsid w:val="00B335C2"/>
    <w:rsid w:val="00B36F12"/>
    <w:rsid w:val="00B42C4B"/>
    <w:rsid w:val="00B47138"/>
    <w:rsid w:val="00B53996"/>
    <w:rsid w:val="00B6450D"/>
    <w:rsid w:val="00B65561"/>
    <w:rsid w:val="00B7000E"/>
    <w:rsid w:val="00B700E0"/>
    <w:rsid w:val="00B7078A"/>
    <w:rsid w:val="00B72CA5"/>
    <w:rsid w:val="00B73846"/>
    <w:rsid w:val="00B77E81"/>
    <w:rsid w:val="00B85C2E"/>
    <w:rsid w:val="00B97338"/>
    <w:rsid w:val="00B97A80"/>
    <w:rsid w:val="00BA1434"/>
    <w:rsid w:val="00BA54FF"/>
    <w:rsid w:val="00BB616F"/>
    <w:rsid w:val="00BD40E9"/>
    <w:rsid w:val="00BE0481"/>
    <w:rsid w:val="00BE230F"/>
    <w:rsid w:val="00BE50D8"/>
    <w:rsid w:val="00BF7219"/>
    <w:rsid w:val="00C06D6B"/>
    <w:rsid w:val="00C11E53"/>
    <w:rsid w:val="00C22A9B"/>
    <w:rsid w:val="00C315A9"/>
    <w:rsid w:val="00C3250B"/>
    <w:rsid w:val="00C36425"/>
    <w:rsid w:val="00C46D23"/>
    <w:rsid w:val="00C64E69"/>
    <w:rsid w:val="00C73527"/>
    <w:rsid w:val="00C75DA7"/>
    <w:rsid w:val="00C76728"/>
    <w:rsid w:val="00C81120"/>
    <w:rsid w:val="00C828DA"/>
    <w:rsid w:val="00C853D7"/>
    <w:rsid w:val="00C90105"/>
    <w:rsid w:val="00C958FE"/>
    <w:rsid w:val="00C96844"/>
    <w:rsid w:val="00CA038F"/>
    <w:rsid w:val="00CA645A"/>
    <w:rsid w:val="00CA7100"/>
    <w:rsid w:val="00CB0B1D"/>
    <w:rsid w:val="00CB425F"/>
    <w:rsid w:val="00CC4992"/>
    <w:rsid w:val="00CC54C4"/>
    <w:rsid w:val="00CC54C5"/>
    <w:rsid w:val="00CC66B8"/>
    <w:rsid w:val="00CC6E4B"/>
    <w:rsid w:val="00CD3542"/>
    <w:rsid w:val="00D003F7"/>
    <w:rsid w:val="00D1276B"/>
    <w:rsid w:val="00D13BDB"/>
    <w:rsid w:val="00D228B1"/>
    <w:rsid w:val="00D31B60"/>
    <w:rsid w:val="00D370FF"/>
    <w:rsid w:val="00D41483"/>
    <w:rsid w:val="00D56F3D"/>
    <w:rsid w:val="00D6114A"/>
    <w:rsid w:val="00D62CD7"/>
    <w:rsid w:val="00D62F2D"/>
    <w:rsid w:val="00D64230"/>
    <w:rsid w:val="00D67763"/>
    <w:rsid w:val="00D7124E"/>
    <w:rsid w:val="00D73AA0"/>
    <w:rsid w:val="00D74F33"/>
    <w:rsid w:val="00D77EB1"/>
    <w:rsid w:val="00D80685"/>
    <w:rsid w:val="00D941D3"/>
    <w:rsid w:val="00DA52A6"/>
    <w:rsid w:val="00DA59D2"/>
    <w:rsid w:val="00DB69E0"/>
    <w:rsid w:val="00DC0BB7"/>
    <w:rsid w:val="00DC726C"/>
    <w:rsid w:val="00DD1526"/>
    <w:rsid w:val="00DD2338"/>
    <w:rsid w:val="00DD2ED8"/>
    <w:rsid w:val="00DD7B3B"/>
    <w:rsid w:val="00DE38F9"/>
    <w:rsid w:val="00DE43F2"/>
    <w:rsid w:val="00DE6496"/>
    <w:rsid w:val="00DE687D"/>
    <w:rsid w:val="00DF52BD"/>
    <w:rsid w:val="00E0240B"/>
    <w:rsid w:val="00E03D24"/>
    <w:rsid w:val="00E16C76"/>
    <w:rsid w:val="00E1700C"/>
    <w:rsid w:val="00E2145F"/>
    <w:rsid w:val="00E23881"/>
    <w:rsid w:val="00E25F86"/>
    <w:rsid w:val="00E262DC"/>
    <w:rsid w:val="00E3118F"/>
    <w:rsid w:val="00E31B18"/>
    <w:rsid w:val="00E408A5"/>
    <w:rsid w:val="00E40900"/>
    <w:rsid w:val="00E43B94"/>
    <w:rsid w:val="00E508A6"/>
    <w:rsid w:val="00E518AB"/>
    <w:rsid w:val="00E57B2E"/>
    <w:rsid w:val="00E62FFC"/>
    <w:rsid w:val="00E67A92"/>
    <w:rsid w:val="00E7319E"/>
    <w:rsid w:val="00E81D58"/>
    <w:rsid w:val="00E83CB5"/>
    <w:rsid w:val="00E84BBE"/>
    <w:rsid w:val="00E86A05"/>
    <w:rsid w:val="00E87396"/>
    <w:rsid w:val="00E87515"/>
    <w:rsid w:val="00EA7295"/>
    <w:rsid w:val="00EB0A2D"/>
    <w:rsid w:val="00EB209F"/>
    <w:rsid w:val="00EB2476"/>
    <w:rsid w:val="00EB49E0"/>
    <w:rsid w:val="00EC0156"/>
    <w:rsid w:val="00EC060F"/>
    <w:rsid w:val="00ED0754"/>
    <w:rsid w:val="00EE50E8"/>
    <w:rsid w:val="00EF275F"/>
    <w:rsid w:val="00EF3943"/>
    <w:rsid w:val="00EF3971"/>
    <w:rsid w:val="00EF7E8A"/>
    <w:rsid w:val="00F0132C"/>
    <w:rsid w:val="00F06452"/>
    <w:rsid w:val="00F11FF2"/>
    <w:rsid w:val="00F20460"/>
    <w:rsid w:val="00F23621"/>
    <w:rsid w:val="00F256FC"/>
    <w:rsid w:val="00F30E5D"/>
    <w:rsid w:val="00F31216"/>
    <w:rsid w:val="00F33A48"/>
    <w:rsid w:val="00F5264C"/>
    <w:rsid w:val="00F63415"/>
    <w:rsid w:val="00F7066D"/>
    <w:rsid w:val="00F74A9D"/>
    <w:rsid w:val="00F75D8B"/>
    <w:rsid w:val="00F86F8B"/>
    <w:rsid w:val="00F91014"/>
    <w:rsid w:val="00F948FC"/>
    <w:rsid w:val="00F95E01"/>
    <w:rsid w:val="00FA1575"/>
    <w:rsid w:val="00FA43C7"/>
    <w:rsid w:val="00FC12BA"/>
    <w:rsid w:val="00FC1F30"/>
    <w:rsid w:val="00FD2C0F"/>
    <w:rsid w:val="00FD4A40"/>
    <w:rsid w:val="00FE10B3"/>
    <w:rsid w:val="00FF27B8"/>
    <w:rsid w:val="00FF5AD2"/>
    <w:rsid w:val="00FF71DB"/>
    <w:rsid w:val="40FB6320"/>
    <w:rsid w:val="6DD92B43"/>
    <w:rsid w:val="774D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681</Words>
  <Characters>3883</Characters>
  <Lines>32</Lines>
  <Paragraphs>9</Paragraphs>
  <TotalTime>219</TotalTime>
  <ScaleCrop>false</ScaleCrop>
  <LinksUpToDate>false</LinksUpToDate>
  <CharactersWithSpaces>4555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2020-05-14T06:53:00Z</dcterms:created>
  <dc:creator>微软用户</dc:creator>
  <cp:lastModifiedBy>ㅤ</cp:lastModifiedBy>
  <dcterms:modified xsi:type="dcterms:W3CDTF">2020-05-27T02:37:43Z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