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750"/>
        <w:rPr>
          <w:b/>
          <w:sz w:val="36"/>
          <w:szCs w:val="36"/>
        </w:rPr>
      </w:pPr>
      <w:bookmarkStart w:id="0" w:name="_GoBack"/>
      <w:bookmarkEnd w:id="0"/>
      <w:r>
        <w:rPr>
          <w:rFonts w:hint="eastAsia"/>
          <w:b/>
          <w:sz w:val="36"/>
          <w:szCs w:val="36"/>
        </w:rPr>
        <w:t>富顺县人民医院</w:t>
      </w:r>
    </w:p>
    <w:p>
      <w:pPr>
        <w:ind w:firstLine="361" w:firstLineChars="100"/>
        <w:rPr>
          <w:b/>
          <w:sz w:val="36"/>
          <w:szCs w:val="36"/>
        </w:rPr>
      </w:pPr>
      <w:r>
        <w:rPr>
          <w:rFonts w:hint="eastAsia"/>
          <w:b/>
          <w:sz w:val="36"/>
          <w:szCs w:val="36"/>
        </w:rPr>
        <w:t>洁净手术室、二次供水等环境卫生学检测单位</w:t>
      </w:r>
    </w:p>
    <w:p>
      <w:pPr>
        <w:ind w:firstLine="2168" w:firstLineChars="600"/>
        <w:rPr>
          <w:rFonts w:ascii="华文行楷" w:hAnsi="华文行楷" w:eastAsia="华文行楷" w:cs="华文行楷"/>
          <w:b/>
          <w:sz w:val="36"/>
          <w:szCs w:val="36"/>
        </w:rPr>
      </w:pPr>
      <w:r>
        <w:rPr>
          <w:rFonts w:hint="eastAsia"/>
          <w:b/>
          <w:sz w:val="36"/>
          <w:szCs w:val="36"/>
        </w:rPr>
        <w:t>采购竞争性谈判公告</w:t>
      </w:r>
    </w:p>
    <w:p>
      <w:pPr>
        <w:rPr>
          <w:rFonts w:ascii="华文行楷" w:hAnsi="华文行楷" w:eastAsia="华文行楷" w:cs="华文行楷"/>
          <w:sz w:val="28"/>
          <w:szCs w:val="28"/>
        </w:rPr>
      </w:pPr>
      <w:r>
        <w:rPr>
          <w:rFonts w:hint="eastAsia" w:ascii="华文行楷" w:hAnsi="华文行楷" w:eastAsia="华文行楷" w:cs="华文行楷"/>
          <w:sz w:val="28"/>
          <w:szCs w:val="28"/>
        </w:rPr>
        <w:t xml:space="preserve"> </w:t>
      </w:r>
    </w:p>
    <w:p>
      <w:pPr>
        <w:rPr>
          <w:rFonts w:ascii="华文行楷" w:hAnsi="华文行楷" w:eastAsia="华文行楷" w:cs="华文行楷"/>
          <w:sz w:val="28"/>
          <w:szCs w:val="28"/>
        </w:rPr>
      </w:pPr>
      <w:r>
        <w:rPr>
          <w:rFonts w:hint="eastAsia" w:ascii="华文行楷" w:hAnsi="华文行楷" w:eastAsia="华文行楷" w:cs="华文行楷"/>
          <w:sz w:val="28"/>
          <w:szCs w:val="28"/>
        </w:rPr>
        <w:t>各供应商：</w:t>
      </w:r>
    </w:p>
    <w:p>
      <w:pPr>
        <w:ind w:firstLine="560" w:firstLineChars="200"/>
        <w:rPr>
          <w:rFonts w:ascii="华文行楷" w:hAnsi="华文行楷" w:eastAsia="华文行楷" w:cs="华文行楷"/>
          <w:sz w:val="28"/>
          <w:szCs w:val="28"/>
        </w:rPr>
      </w:pPr>
      <w:r>
        <w:rPr>
          <w:rFonts w:hint="eastAsia" w:ascii="华文行楷" w:hAnsi="华文行楷" w:eastAsia="华文行楷" w:cs="华文行楷"/>
          <w:sz w:val="28"/>
          <w:szCs w:val="28"/>
        </w:rPr>
        <w:t>我院因工作需要，现诚邀具备相应资质的检测单位参加我院洁净手术室、二次供水等环境卫生学检测单位采购竞争性谈判工作，具体内容如下：</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69"/>
        <w:gridCol w:w="1701"/>
        <w:gridCol w:w="2506"/>
        <w:gridCol w:w="943"/>
        <w:gridCol w:w="2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0" w:hRule="atLeast"/>
          <w:jc w:val="center"/>
        </w:trPr>
        <w:tc>
          <w:tcPr>
            <w:tcW w:w="1369"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1701"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w:t>
            </w:r>
          </w:p>
        </w:tc>
        <w:tc>
          <w:tcPr>
            <w:tcW w:w="2506"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指标/说明</w:t>
            </w:r>
          </w:p>
        </w:tc>
        <w:tc>
          <w:tcPr>
            <w:tcW w:w="943"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每年检测数量</w:t>
            </w:r>
            <w:r>
              <w:rPr>
                <w:rFonts w:hint="eastAsia" w:ascii="宋体" w:hAnsi="宋体" w:cs="宋体"/>
                <w:b/>
                <w:color w:val="000000"/>
                <w:kern w:val="0"/>
                <w:sz w:val="22"/>
                <w:szCs w:val="22"/>
              </w:rPr>
              <w:br w:type="textWrapping"/>
            </w:r>
            <w:r>
              <w:rPr>
                <w:rFonts w:hint="eastAsia" w:ascii="宋体" w:hAnsi="宋体" w:cs="宋体"/>
                <w:b/>
                <w:color w:val="000000"/>
                <w:kern w:val="0"/>
                <w:sz w:val="22"/>
                <w:szCs w:val="22"/>
              </w:rPr>
              <w:t>(份\间\套\点）</w:t>
            </w:r>
          </w:p>
        </w:tc>
        <w:tc>
          <w:tcPr>
            <w:tcW w:w="2646" w:type="dxa"/>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涉及标准及检测频率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80"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洁净手术室（百级）</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静压差、尘埃粒子数、温度、湿度、风速、噪声、照度及不均匀度、空气细菌、平均风速、风速不平均度。</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检测标准：《医院洁净手术部建筑技术规范》GB  50333-2013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2"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2</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洁净手术室（千级）</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静压差、尘埃粒子数、温度、湿度、风速、噪声、照度、空气细菌、换气次数。</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检测标准：《医院洁净手术部建筑技术规范》GB  50333-2013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2"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3</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洁净手术室（万级）</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静压差、尘埃粒子数、温度、湿度、风速、噪声、照度、空气细菌、换气次数。</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检测标准：《医院洁净手术部建筑技术规范》GB  50333-2013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2"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4</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洁净手术室（辅助用房）</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静压差、尘埃粒子数、温度、湿度、风速、噪声、照度、空气细菌、换气次数。</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检测标准：《医院洁净手术部建筑技术规范》GB  50333-2013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12"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5</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生物安全柜</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静压差、尘埃粒子数、温度、湿度、风速、噪声、照度、空气细菌、换气次数。</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检测标准：《医院洁净手术部建筑技术规范》GB  50333-2013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9"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6</w:t>
            </w:r>
          </w:p>
        </w:tc>
        <w:tc>
          <w:tcPr>
            <w:tcW w:w="1701"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空气检测</w:t>
            </w:r>
          </w:p>
        </w:tc>
        <w:tc>
          <w:tcPr>
            <w:tcW w:w="250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甲醛、甲苯、二甲苯</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《室内空气质量标准》GB/T18883-2002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88" w:hRule="atLeast"/>
          <w:jc w:val="center"/>
        </w:trPr>
        <w:tc>
          <w:tcPr>
            <w:tcW w:w="1369" w:type="dxa"/>
            <w:vMerge w:val="restart"/>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11</w:t>
            </w:r>
          </w:p>
        </w:tc>
        <w:tc>
          <w:tcPr>
            <w:tcW w:w="1701" w:type="dxa"/>
            <w:vMerge w:val="restart"/>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集中空调</w:t>
            </w:r>
          </w:p>
        </w:tc>
        <w:tc>
          <w:tcPr>
            <w:tcW w:w="2506" w:type="dxa"/>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【送风系统】可吸入颗粒(PM10)、细菌总数、真菌总数、β-溶血性链球菌、【风管内表面】积尘量、细菌总数、真菌总数。</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Merge w:val="restart"/>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《公共场所集中空调通风系统卫生规范》WS 394-2012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95" w:hRule="atLeast"/>
          <w:jc w:val="center"/>
        </w:trPr>
        <w:tc>
          <w:tcPr>
            <w:tcW w:w="1369" w:type="dxa"/>
            <w:vMerge w:val="continue"/>
            <w:shd w:val="clear" w:color="auto" w:fill="FFFFFF"/>
            <w:vAlign w:val="center"/>
          </w:tcPr>
          <w:p>
            <w:pPr>
              <w:jc w:val="center"/>
              <w:rPr>
                <w:rFonts w:ascii="Arial" w:hAnsi="Arial" w:cs="Arial"/>
                <w:b/>
                <w:color w:val="000000"/>
                <w:sz w:val="22"/>
                <w:szCs w:val="22"/>
              </w:rPr>
            </w:pPr>
          </w:p>
        </w:tc>
        <w:tc>
          <w:tcPr>
            <w:tcW w:w="1701" w:type="dxa"/>
            <w:vMerge w:val="continue"/>
            <w:shd w:val="clear" w:color="auto" w:fill="auto"/>
            <w:vAlign w:val="center"/>
          </w:tcPr>
          <w:p>
            <w:pPr>
              <w:jc w:val="center"/>
              <w:rPr>
                <w:rFonts w:ascii="宋体" w:hAnsi="宋体" w:cs="宋体"/>
                <w:color w:val="000000"/>
                <w:sz w:val="22"/>
                <w:szCs w:val="22"/>
              </w:rPr>
            </w:pPr>
          </w:p>
        </w:tc>
        <w:tc>
          <w:tcPr>
            <w:tcW w:w="2506" w:type="dxa"/>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嗜肺军团菌</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Merge w:val="continue"/>
            <w:vAlign w:val="center"/>
          </w:tcPr>
          <w:p>
            <w:pPr>
              <w:jc w:val="center"/>
              <w:rPr>
                <w:rFonts w:ascii="宋体" w:hAnsi="宋体" w:cs="宋体"/>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92"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12</w:t>
            </w:r>
          </w:p>
        </w:tc>
        <w:tc>
          <w:tcPr>
            <w:tcW w:w="1701" w:type="dxa"/>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直饮水</w:t>
            </w:r>
          </w:p>
        </w:tc>
        <w:tc>
          <w:tcPr>
            <w:tcW w:w="2506" w:type="dxa"/>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感官性状（色、浑浊度、臭和味、肉眼可见物）；2.细菌学指标（细菌总数、总大肠菌群、粪大肠菌群）；3.一般化学指标（pH、总硬度、铁、锰、铜、锌、铝、挥发性酚类、阴离子合成洗涤剂、硫酸盐、氯化物、溶解性总固体、耗氧量）；4.毒理学指标（氟化物、硝酸盐氮、砷、硒、汞、镉、六价铬、铅、氯仿、四氯化碳）。</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《饮用净水水质标准》 CJ 94-2005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98"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13</w:t>
            </w:r>
          </w:p>
        </w:tc>
        <w:tc>
          <w:tcPr>
            <w:tcW w:w="1701" w:type="dxa"/>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二次供水</w:t>
            </w:r>
          </w:p>
        </w:tc>
        <w:tc>
          <w:tcPr>
            <w:tcW w:w="2506" w:type="dxa"/>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色度、浑浊度、嗅和味以及肉眼可见物、PH值、大肠菌群、细菌总数、余氯、总硬度、氯化物、硝酸盐氮、氰化物、砷、六价铬等21项</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《二次供水设施卫生规范》 GB 17051-1997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79"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14</w:t>
            </w:r>
          </w:p>
        </w:tc>
        <w:tc>
          <w:tcPr>
            <w:tcW w:w="1701" w:type="dxa"/>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候诊室微小气候</w:t>
            </w:r>
          </w:p>
        </w:tc>
        <w:tc>
          <w:tcPr>
            <w:tcW w:w="2506" w:type="dxa"/>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温度、风速、二氧化碳、一氧化碳、甲醛、可吸入颗粒物、空气细菌数、嗓声、照度。</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《医院侯诊室卫生标准》 GB 9671-1996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9" w:hRule="atLeast"/>
          <w:jc w:val="center"/>
        </w:trPr>
        <w:tc>
          <w:tcPr>
            <w:tcW w:w="1369" w:type="dxa"/>
            <w:shd w:val="clear" w:color="auto" w:fill="FFFFFF"/>
            <w:vAlign w:val="center"/>
          </w:tcPr>
          <w:p>
            <w:pPr>
              <w:widowControl/>
              <w:jc w:val="center"/>
              <w:textAlignment w:val="center"/>
              <w:rPr>
                <w:rFonts w:ascii="Arial" w:hAnsi="Arial" w:cs="Arial"/>
                <w:b/>
                <w:color w:val="000000"/>
                <w:sz w:val="22"/>
                <w:szCs w:val="22"/>
              </w:rPr>
            </w:pPr>
            <w:r>
              <w:rPr>
                <w:rFonts w:ascii="Arial" w:hAnsi="Arial" w:cs="Arial"/>
                <w:b/>
                <w:color w:val="000000"/>
                <w:kern w:val="0"/>
                <w:sz w:val="22"/>
                <w:szCs w:val="22"/>
              </w:rPr>
              <w:t>15</w:t>
            </w:r>
          </w:p>
        </w:tc>
        <w:tc>
          <w:tcPr>
            <w:tcW w:w="1701" w:type="dxa"/>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医用织物</w:t>
            </w:r>
          </w:p>
        </w:tc>
        <w:tc>
          <w:tcPr>
            <w:tcW w:w="2506" w:type="dxa"/>
            <w:shd w:val="clear" w:color="auto" w:fill="FFFFFF"/>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细菌菌落总数、大肠菌群、金黄色葡萄球菌。</w:t>
            </w:r>
          </w:p>
        </w:tc>
        <w:tc>
          <w:tcPr>
            <w:tcW w:w="943"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646"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 xml:space="preserve">《医院医用织物洗涤消毒技术规范》WS/T 508-2016 </w:t>
            </w:r>
          </w:p>
        </w:tc>
      </w:tr>
    </w:tbl>
    <w:p>
      <w:pPr>
        <w:rPr>
          <w:rFonts w:ascii="华文行楷" w:hAnsi="华文行楷" w:eastAsia="华文行楷" w:cs="华文行楷"/>
          <w:sz w:val="28"/>
          <w:szCs w:val="28"/>
        </w:rPr>
      </w:pPr>
      <w:r>
        <w:rPr>
          <w:rFonts w:hint="eastAsia" w:ascii="华文行楷" w:hAnsi="华文行楷" w:eastAsia="华文行楷" w:cs="华文行楷"/>
          <w:sz w:val="28"/>
          <w:szCs w:val="28"/>
        </w:rPr>
        <w:t>三、检测机构按照检测项目明细上的次数，对我院相关指标进行采样检测，并</w:t>
      </w:r>
      <w:r>
        <w:rPr>
          <w:rFonts w:hint="eastAsia" w:ascii="宋体"/>
          <w:sz w:val="28"/>
          <w:szCs w:val="28"/>
        </w:rPr>
        <w:t>提供具有相应资质单位出具的检测报告。</w:t>
      </w:r>
    </w:p>
    <w:p>
      <w:pPr>
        <w:spacing w:line="460" w:lineRule="exact"/>
        <w:jc w:val="left"/>
        <w:rPr>
          <w:bCs/>
          <w:sz w:val="28"/>
          <w:szCs w:val="28"/>
        </w:rPr>
      </w:pPr>
      <w:r>
        <w:rPr>
          <w:rFonts w:hint="eastAsia"/>
          <w:bCs/>
          <w:sz w:val="28"/>
          <w:szCs w:val="28"/>
        </w:rPr>
        <w:t>四、供应商须具有独立法人资格且具有经过省级以上技术监督部门认证的环境卫生学检验检测机构资质认定证书。</w:t>
      </w:r>
    </w:p>
    <w:p>
      <w:pPr>
        <w:spacing w:line="460" w:lineRule="exact"/>
        <w:jc w:val="left"/>
        <w:rPr>
          <w:bCs/>
          <w:sz w:val="28"/>
          <w:szCs w:val="28"/>
        </w:rPr>
      </w:pPr>
      <w:r>
        <w:rPr>
          <w:rFonts w:hint="eastAsia"/>
          <w:bCs/>
          <w:sz w:val="28"/>
          <w:szCs w:val="28"/>
        </w:rPr>
        <w:t>五、合同期12个月。</w:t>
      </w:r>
    </w:p>
    <w:p>
      <w:pPr>
        <w:pStyle w:val="9"/>
        <w:jc w:val="both"/>
        <w:rPr>
          <w:sz w:val="28"/>
          <w:szCs w:val="28"/>
        </w:rPr>
      </w:pPr>
      <w:r>
        <w:rPr>
          <w:rFonts w:hint="eastAsia"/>
          <w:bCs/>
          <w:sz w:val="28"/>
          <w:szCs w:val="28"/>
        </w:rPr>
        <w:t>六、本次采购最高限价50700.00元，</w:t>
      </w:r>
      <w:r>
        <w:rPr>
          <w:rFonts w:hint="eastAsia"/>
          <w:color w:val="000000"/>
          <w:sz w:val="28"/>
          <w:szCs w:val="28"/>
          <w:lang w:val="zh-CN"/>
        </w:rPr>
        <w:t>超过最高限价的报价为无效投标；本次采购以</w:t>
      </w:r>
      <w:r>
        <w:rPr>
          <w:rFonts w:hint="eastAsia"/>
          <w:bCs/>
          <w:sz w:val="28"/>
          <w:szCs w:val="28"/>
        </w:rPr>
        <w:t>采购检测费的</w:t>
      </w:r>
      <w:r>
        <w:rPr>
          <w:rFonts w:hint="eastAsia"/>
          <w:color w:val="000000"/>
          <w:sz w:val="28"/>
          <w:szCs w:val="28"/>
          <w:lang w:val="zh-CN"/>
        </w:rPr>
        <w:t>有效报价为评审依据，最低报价者为本次竞争性谈判中标候选单位。</w:t>
      </w:r>
      <w:r>
        <w:rPr>
          <w:rFonts w:hint="eastAsia"/>
          <w:sz w:val="28"/>
          <w:szCs w:val="28"/>
        </w:rPr>
        <w:t>报价为包干价(含税金、出具检测报告以及因采样监测产生的全部费用等)。</w:t>
      </w:r>
    </w:p>
    <w:p>
      <w:pPr>
        <w:pStyle w:val="9"/>
        <w:jc w:val="both"/>
        <w:rPr>
          <w:color w:val="000000"/>
          <w:sz w:val="28"/>
          <w:szCs w:val="28"/>
          <w:lang w:val="zh-CN"/>
        </w:rPr>
      </w:pPr>
      <w:r>
        <w:rPr>
          <w:rFonts w:hint="eastAsia"/>
          <w:bCs/>
          <w:sz w:val="28"/>
          <w:szCs w:val="28"/>
        </w:rPr>
        <w:t>七、费用支付方式：签订合同支付合同总价款的</w:t>
      </w:r>
      <w:r>
        <w:rPr>
          <w:bCs/>
          <w:sz w:val="28"/>
          <w:szCs w:val="28"/>
        </w:rPr>
        <w:t>30%</w:t>
      </w:r>
      <w:r>
        <w:rPr>
          <w:rFonts w:hint="eastAsia"/>
          <w:bCs/>
          <w:sz w:val="28"/>
          <w:szCs w:val="28"/>
        </w:rPr>
        <w:t>，合同期满后支付剩余合同总价款的</w:t>
      </w:r>
      <w:r>
        <w:rPr>
          <w:bCs/>
          <w:sz w:val="28"/>
          <w:szCs w:val="28"/>
        </w:rPr>
        <w:t>70%</w:t>
      </w:r>
      <w:r>
        <w:rPr>
          <w:rFonts w:hint="eastAsia"/>
          <w:color w:val="000000"/>
          <w:sz w:val="28"/>
          <w:szCs w:val="28"/>
          <w:lang w:val="zh-CN"/>
        </w:rPr>
        <w:t>。</w:t>
      </w:r>
    </w:p>
    <w:p>
      <w:pPr>
        <w:spacing w:line="360" w:lineRule="auto"/>
        <w:rPr>
          <w:color w:val="000000"/>
          <w:sz w:val="28"/>
          <w:szCs w:val="28"/>
        </w:rPr>
      </w:pPr>
      <w:r>
        <w:rPr>
          <w:rFonts w:hint="eastAsia"/>
          <w:color w:val="000000"/>
          <w:sz w:val="28"/>
          <w:szCs w:val="28"/>
        </w:rPr>
        <w:t>八、竞争性谈判相关事宜：</w:t>
      </w:r>
    </w:p>
    <w:p>
      <w:pPr>
        <w:spacing w:line="360" w:lineRule="auto"/>
        <w:rPr>
          <w:color w:val="000000"/>
          <w:sz w:val="28"/>
          <w:szCs w:val="28"/>
        </w:rPr>
      </w:pPr>
      <w:r>
        <w:rPr>
          <w:color w:val="000000"/>
          <w:sz w:val="28"/>
          <w:szCs w:val="28"/>
        </w:rPr>
        <w:t>1</w:t>
      </w:r>
      <w:r>
        <w:rPr>
          <w:rFonts w:hint="eastAsia"/>
          <w:color w:val="000000"/>
          <w:sz w:val="28"/>
          <w:szCs w:val="28"/>
        </w:rPr>
        <w:t>、谈判文件递交地点：富顺县人民医院后勤科</w:t>
      </w:r>
      <w:r>
        <w:rPr>
          <w:color w:val="000000"/>
          <w:sz w:val="28"/>
          <w:szCs w:val="28"/>
        </w:rPr>
        <w:t xml:space="preserve"> </w:t>
      </w:r>
    </w:p>
    <w:p>
      <w:pPr>
        <w:spacing w:line="360" w:lineRule="auto"/>
        <w:rPr>
          <w:color w:val="000000"/>
          <w:sz w:val="28"/>
          <w:szCs w:val="28"/>
        </w:rPr>
      </w:pPr>
      <w:r>
        <w:rPr>
          <w:color w:val="000000"/>
          <w:sz w:val="28"/>
          <w:szCs w:val="28"/>
        </w:rPr>
        <w:t>2</w:t>
      </w:r>
      <w:r>
        <w:rPr>
          <w:rFonts w:hint="eastAsia"/>
          <w:color w:val="000000"/>
          <w:sz w:val="28"/>
          <w:szCs w:val="28"/>
        </w:rPr>
        <w:t>、咨询联系人：丁先生</w:t>
      </w:r>
      <w:r>
        <w:rPr>
          <w:color w:val="000000"/>
          <w:sz w:val="28"/>
          <w:szCs w:val="28"/>
        </w:rPr>
        <w:t xml:space="preserve"> </w:t>
      </w:r>
      <w:r>
        <w:rPr>
          <w:rFonts w:hint="eastAsia"/>
          <w:color w:val="000000"/>
          <w:sz w:val="28"/>
          <w:szCs w:val="28"/>
        </w:rPr>
        <w:t>电话：</w:t>
      </w:r>
      <w:r>
        <w:rPr>
          <w:color w:val="000000"/>
          <w:sz w:val="28"/>
          <w:szCs w:val="28"/>
        </w:rPr>
        <w:t xml:space="preserve">13708150686   </w:t>
      </w:r>
    </w:p>
    <w:p>
      <w:pPr>
        <w:spacing w:line="360" w:lineRule="auto"/>
        <w:rPr>
          <w:color w:val="000000"/>
          <w:sz w:val="28"/>
          <w:szCs w:val="28"/>
        </w:rPr>
      </w:pPr>
      <w:r>
        <w:rPr>
          <w:color w:val="000000"/>
          <w:sz w:val="28"/>
          <w:szCs w:val="28"/>
        </w:rPr>
        <w:t>3</w:t>
      </w:r>
      <w:r>
        <w:rPr>
          <w:rFonts w:hint="eastAsia"/>
          <w:color w:val="000000"/>
          <w:sz w:val="28"/>
          <w:szCs w:val="28"/>
        </w:rPr>
        <w:t>、提交谈判文件的截止日期：北京时间</w:t>
      </w:r>
      <w:r>
        <w:rPr>
          <w:color w:val="000000"/>
          <w:sz w:val="28"/>
          <w:szCs w:val="28"/>
        </w:rPr>
        <w:t>2019</w:t>
      </w:r>
      <w:r>
        <w:rPr>
          <w:rFonts w:hint="eastAsia"/>
          <w:color w:val="000000"/>
          <w:sz w:val="28"/>
          <w:szCs w:val="28"/>
        </w:rPr>
        <w:t>年</w:t>
      </w:r>
      <w:r>
        <w:rPr>
          <w:color w:val="000000"/>
          <w:sz w:val="28"/>
          <w:szCs w:val="28"/>
        </w:rPr>
        <w:t>11</w:t>
      </w:r>
      <w:r>
        <w:rPr>
          <w:rFonts w:hint="eastAsia"/>
          <w:color w:val="000000"/>
          <w:sz w:val="28"/>
          <w:szCs w:val="28"/>
        </w:rPr>
        <w:t>月27 日5 时整。</w:t>
      </w:r>
    </w:p>
    <w:p>
      <w:pPr>
        <w:spacing w:line="460" w:lineRule="exact"/>
        <w:jc w:val="left"/>
        <w:rPr>
          <w:bCs/>
          <w:sz w:val="28"/>
          <w:szCs w:val="28"/>
        </w:rPr>
      </w:pPr>
      <w:r>
        <w:rPr>
          <w:rFonts w:ascii="黑体" w:eastAsia="黑体"/>
          <w:color w:val="000000"/>
          <w:sz w:val="28"/>
          <w:szCs w:val="28"/>
        </w:rPr>
        <w:t>4</w:t>
      </w:r>
      <w:r>
        <w:rPr>
          <w:rFonts w:hint="eastAsia" w:ascii="黑体" w:eastAsia="黑体"/>
          <w:color w:val="000000"/>
          <w:sz w:val="28"/>
          <w:szCs w:val="28"/>
        </w:rPr>
        <w:t>、谈判时间及地点：</w:t>
      </w:r>
      <w:r>
        <w:rPr>
          <w:rFonts w:ascii="黑体" w:eastAsia="黑体"/>
          <w:color w:val="000000"/>
          <w:sz w:val="28"/>
          <w:szCs w:val="28"/>
        </w:rPr>
        <w:t>2019</w:t>
      </w:r>
      <w:r>
        <w:rPr>
          <w:rFonts w:hint="eastAsia" w:ascii="黑体" w:eastAsia="黑体"/>
          <w:color w:val="000000"/>
          <w:sz w:val="28"/>
          <w:szCs w:val="28"/>
        </w:rPr>
        <w:t>年11 月28 日9 时，在医院审计科。</w:t>
      </w:r>
    </w:p>
    <w:p>
      <w:pPr>
        <w:spacing w:line="360" w:lineRule="auto"/>
        <w:jc w:val="left"/>
        <w:rPr>
          <w:rFonts w:ascii="宋体" w:cs="宋体"/>
          <w:color w:val="000000"/>
          <w:sz w:val="28"/>
          <w:szCs w:val="28"/>
        </w:rPr>
      </w:pPr>
      <w:r>
        <w:rPr>
          <w:bCs/>
          <w:sz w:val="28"/>
          <w:szCs w:val="28"/>
        </w:rPr>
        <w:t>5</w:t>
      </w:r>
      <w:r>
        <w:rPr>
          <w:rFonts w:hint="eastAsia"/>
          <w:bCs/>
          <w:sz w:val="28"/>
          <w:szCs w:val="28"/>
        </w:rPr>
        <w:t>、竞争性谈判报价单由投标人自拟，所有报价保留到个位数，</w:t>
      </w:r>
      <w:r>
        <w:rPr>
          <w:rFonts w:hint="eastAsia" w:ascii="宋体" w:hAnsi="宋体" w:cs="宋体"/>
          <w:color w:val="000000"/>
          <w:sz w:val="28"/>
          <w:szCs w:val="28"/>
        </w:rPr>
        <w:t>填写的所有报价将作为本次采购唯一的最终报价依据。</w:t>
      </w:r>
    </w:p>
    <w:p>
      <w:pPr>
        <w:spacing w:line="360" w:lineRule="auto"/>
        <w:jc w:val="left"/>
        <w:rPr>
          <w:rFonts w:ascii="宋体" w:cs="宋体"/>
          <w:color w:val="000000"/>
          <w:sz w:val="28"/>
          <w:szCs w:val="28"/>
        </w:rPr>
      </w:pPr>
      <w:r>
        <w:rPr>
          <w:rFonts w:ascii="宋体" w:hAnsi="宋体" w:cs="宋体"/>
          <w:color w:val="000000"/>
          <w:sz w:val="28"/>
          <w:szCs w:val="28"/>
        </w:rPr>
        <w:t>6</w:t>
      </w:r>
      <w:r>
        <w:rPr>
          <w:rFonts w:hint="eastAsia" w:ascii="宋体" w:hAnsi="宋体" w:cs="宋体"/>
          <w:color w:val="000000"/>
          <w:sz w:val="28"/>
          <w:szCs w:val="28"/>
        </w:rPr>
        <w:t>、本次竞争性谈判最终解释权归采购人所有。</w:t>
      </w:r>
    </w:p>
    <w:p>
      <w:pPr>
        <w:spacing w:line="360" w:lineRule="auto"/>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p>
    <w:p>
      <w:pPr>
        <w:spacing w:line="360" w:lineRule="auto"/>
        <w:ind w:firstLine="5880" w:firstLineChars="2100"/>
        <w:jc w:val="left"/>
        <w:rPr>
          <w:rFonts w:ascii="宋体" w:cs="宋体"/>
          <w:color w:val="000000"/>
          <w:sz w:val="28"/>
          <w:szCs w:val="28"/>
        </w:rPr>
      </w:pPr>
      <w:r>
        <w:rPr>
          <w:rFonts w:hint="eastAsia" w:ascii="宋体" w:hAnsi="宋体" w:cs="宋体"/>
          <w:color w:val="000000"/>
          <w:sz w:val="28"/>
          <w:szCs w:val="28"/>
        </w:rPr>
        <w:t>富顺县人民医院</w:t>
      </w:r>
    </w:p>
    <w:p>
      <w:pPr>
        <w:spacing w:line="360" w:lineRule="auto"/>
        <w:ind w:firstLine="5740" w:firstLineChars="2050"/>
        <w:jc w:val="left"/>
        <w:rPr>
          <w:rFonts w:ascii="宋体" w:cs="宋体"/>
          <w:color w:val="000000"/>
          <w:sz w:val="28"/>
          <w:szCs w:val="28"/>
        </w:rPr>
      </w:pPr>
      <w:r>
        <w:rPr>
          <w:rFonts w:ascii="宋体" w:hAnsi="宋体" w:cs="宋体"/>
          <w:color w:val="000000"/>
          <w:sz w:val="28"/>
          <w:szCs w:val="28"/>
        </w:rPr>
        <w:t>2019</w:t>
      </w:r>
      <w:r>
        <w:rPr>
          <w:rFonts w:hint="eastAsia" w:ascii="宋体" w:hAnsi="宋体" w:cs="宋体"/>
          <w:color w:val="000000"/>
          <w:sz w:val="28"/>
          <w:szCs w:val="28"/>
        </w:rPr>
        <w:t>年</w:t>
      </w:r>
      <w:r>
        <w:rPr>
          <w:rFonts w:ascii="宋体" w:hAnsi="宋体" w:cs="宋体"/>
          <w:color w:val="000000"/>
          <w:sz w:val="28"/>
          <w:szCs w:val="28"/>
        </w:rPr>
        <w:t>11</w:t>
      </w:r>
      <w:r>
        <w:rPr>
          <w:rFonts w:hint="eastAsia" w:ascii="宋体" w:hAnsi="宋体" w:cs="宋体"/>
          <w:color w:val="000000"/>
          <w:sz w:val="28"/>
          <w:szCs w:val="28"/>
        </w:rPr>
        <w:t>月25日</w:t>
      </w:r>
    </w:p>
    <w:p>
      <w:pPr>
        <w:spacing w:line="460" w:lineRule="exact"/>
        <w:jc w:val="left"/>
        <w:rPr>
          <w:bCs/>
          <w:sz w:val="28"/>
          <w:szCs w:val="28"/>
        </w:rPr>
      </w:pPr>
      <w:r>
        <w:rPr>
          <w:bCs/>
          <w:sz w:val="28"/>
          <w:szCs w:val="28"/>
        </w:rPr>
        <w:t xml:space="preserve">                              </w:t>
      </w:r>
    </w:p>
    <w:p>
      <w:pPr>
        <w:spacing w:line="460" w:lineRule="exact"/>
        <w:ind w:firstLine="4200" w:firstLineChars="1500"/>
        <w:jc w:val="left"/>
        <w:rPr>
          <w:bCs/>
          <w:sz w:val="28"/>
          <w:szCs w:val="28"/>
        </w:rPr>
      </w:pPr>
      <w:r>
        <w:rPr>
          <w:bCs/>
          <w:sz w:val="28"/>
          <w:szCs w:val="28"/>
        </w:rPr>
        <w:t xml:space="preserve">    </w:t>
      </w:r>
    </w:p>
    <w:p>
      <w:pPr>
        <w:spacing w:line="460" w:lineRule="exact"/>
        <w:ind w:firstLine="4200" w:firstLineChars="1500"/>
        <w:jc w:val="left"/>
        <w:rPr>
          <w:bCs/>
          <w:sz w:val="28"/>
          <w:szCs w:val="28"/>
        </w:rPr>
      </w:pPr>
    </w:p>
    <w:p>
      <w:pPr>
        <w:spacing w:line="460" w:lineRule="exact"/>
        <w:ind w:firstLine="4200" w:firstLineChars="1500"/>
        <w:jc w:val="left"/>
        <w:rPr>
          <w:bCs/>
          <w:sz w:val="28"/>
          <w:szCs w:val="28"/>
        </w:rPr>
      </w:pPr>
    </w:p>
    <w:p>
      <w:pPr>
        <w:spacing w:line="460" w:lineRule="exact"/>
        <w:ind w:firstLine="4200" w:firstLineChars="1500"/>
        <w:jc w:val="left"/>
        <w:rPr>
          <w:bCs/>
          <w:sz w:val="28"/>
          <w:szCs w:val="28"/>
        </w:rPr>
      </w:pPr>
    </w:p>
    <w:p>
      <w:pPr>
        <w:spacing w:line="460" w:lineRule="exact"/>
        <w:ind w:firstLine="5600" w:firstLineChars="2000"/>
        <w:jc w:val="left"/>
        <w:rPr>
          <w:bCs/>
          <w:sz w:val="28"/>
          <w:szCs w:val="28"/>
        </w:rPr>
      </w:pPr>
    </w:p>
    <w:p>
      <w:pPr>
        <w:rPr>
          <w:rFonts w:ascii="华文行楷" w:hAnsi="华文行楷" w:eastAsia="华文行楷" w:cs="华文行楷"/>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6E7C7E"/>
    <w:rsid w:val="0000224F"/>
    <w:rsid w:val="00037C1E"/>
    <w:rsid w:val="000A27FB"/>
    <w:rsid w:val="000D4903"/>
    <w:rsid w:val="0010081B"/>
    <w:rsid w:val="00144362"/>
    <w:rsid w:val="001906F3"/>
    <w:rsid w:val="001F4E21"/>
    <w:rsid w:val="00213197"/>
    <w:rsid w:val="00213314"/>
    <w:rsid w:val="003259F2"/>
    <w:rsid w:val="00334D3A"/>
    <w:rsid w:val="00377D56"/>
    <w:rsid w:val="004404D3"/>
    <w:rsid w:val="00486287"/>
    <w:rsid w:val="00494E14"/>
    <w:rsid w:val="004B2FEE"/>
    <w:rsid w:val="005055C9"/>
    <w:rsid w:val="00545AFF"/>
    <w:rsid w:val="005463D8"/>
    <w:rsid w:val="005C71A6"/>
    <w:rsid w:val="00606FAF"/>
    <w:rsid w:val="006149DE"/>
    <w:rsid w:val="00675142"/>
    <w:rsid w:val="00691B0F"/>
    <w:rsid w:val="006B746F"/>
    <w:rsid w:val="007B13E8"/>
    <w:rsid w:val="00814B93"/>
    <w:rsid w:val="008202A9"/>
    <w:rsid w:val="008416F6"/>
    <w:rsid w:val="008E62DE"/>
    <w:rsid w:val="00931E58"/>
    <w:rsid w:val="009B4B5B"/>
    <w:rsid w:val="009D3178"/>
    <w:rsid w:val="00A02D1C"/>
    <w:rsid w:val="00A33B6D"/>
    <w:rsid w:val="00A505F0"/>
    <w:rsid w:val="00AA498A"/>
    <w:rsid w:val="00B06CCD"/>
    <w:rsid w:val="00B27A6D"/>
    <w:rsid w:val="00B44595"/>
    <w:rsid w:val="00BD4DA2"/>
    <w:rsid w:val="00BE5674"/>
    <w:rsid w:val="00C263FE"/>
    <w:rsid w:val="00C65CC9"/>
    <w:rsid w:val="00CF0CC2"/>
    <w:rsid w:val="00D22603"/>
    <w:rsid w:val="00D230B6"/>
    <w:rsid w:val="00D23926"/>
    <w:rsid w:val="00D55E16"/>
    <w:rsid w:val="00D834F2"/>
    <w:rsid w:val="00DC63F6"/>
    <w:rsid w:val="00E11C62"/>
    <w:rsid w:val="00E50760"/>
    <w:rsid w:val="00E66024"/>
    <w:rsid w:val="00E804A0"/>
    <w:rsid w:val="00EA72AB"/>
    <w:rsid w:val="00F321D8"/>
    <w:rsid w:val="00F50398"/>
    <w:rsid w:val="00FD38D1"/>
    <w:rsid w:val="4C9C211A"/>
    <w:rsid w:val="596E7C7E"/>
    <w:rsid w:val="7A9A60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locked/>
    <w:uiPriority w:val="99"/>
    <w:rPr>
      <w:rFonts w:cs="Times New Roman"/>
      <w:kern w:val="2"/>
      <w:sz w:val="18"/>
      <w:szCs w:val="18"/>
    </w:rPr>
  </w:style>
  <w:style w:type="character" w:customStyle="1" w:styleId="8">
    <w:name w:val="页脚 Char"/>
    <w:basedOn w:val="6"/>
    <w:link w:val="2"/>
    <w:locked/>
    <w:uiPriority w:val="99"/>
    <w:rPr>
      <w:rFonts w:cs="Times New Roman"/>
      <w:kern w:val="2"/>
      <w:sz w:val="18"/>
      <w:szCs w:val="18"/>
    </w:rPr>
  </w:style>
  <w:style w:type="paragraph" w:customStyle="1" w:styleId="9">
    <w:name w:val="样式"/>
    <w:uiPriority w:val="99"/>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256</Words>
  <Characters>1465</Characters>
  <Lines>12</Lines>
  <Paragraphs>3</Paragraphs>
  <TotalTime>105</TotalTime>
  <ScaleCrop>false</ScaleCrop>
  <LinksUpToDate>false</LinksUpToDate>
  <CharactersWithSpaces>1718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2019-11-05T02:07:00Z</dcterms:created>
  <dc:creator>Administrator</dc:creator>
  <cp:lastModifiedBy>ㅤ</cp:lastModifiedBy>
  <dcterms:modified xsi:type="dcterms:W3CDTF">2019-11-25T07:47:14Z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